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版本号：SCZC2026-CS-0759-00120260415002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陕西省市场监督管理局商用密码安全性评估服务项目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SCZC2026-CS-0759-001</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陕西省市场监督管理局商用密码安全性评估服务项目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SCZC2026-CS-0759-001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陕西省市场监督管理局商用密码安全性评估服务项目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贯彻总体国家安全观和网络强国战略，做好国产密码应用推进工作，需要加强商用密码应用的工作部署和推进普及，在保证商用密码应用大力推广和普及的同时，做好网络与信息系统的商用密码应用安全性评估，确保商用密码应用的合规、正确、有效。对陕西省市场监督管理局信息系统开展商用密码安全性评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采购包1（商用密码安全性评估服务）：属于专门面向中小企业采购。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3、特定资格要求：供应商须具备国家密码管理局颁发的“商用密码检测机构资质证书”。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029-86135653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银行账号：102061557773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贯彻总体国家安全观和网络强国战略，做好国产密码应用推进工作，需要加强商用密码应用的工作部署和推进普及，在保证商用密码应用大力推广和普及的同时，做好网络与信息系统的商用密码应用安全性评估，确保商用密码应用的合规、正确、有效。对陕西省市场监督管理局信息系统开展商用密码安全性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1,480,000.00</w:t>
      </w:r>
    </w:p>
    <w:p>
      <w:pPr>
        <w:pStyle w:val="null3"/>
      </w:pPr>
      <w:r>
        <w:rPr>
          <w:rFonts w:ascii="仿宋_GB2312" w:hAnsi="仿宋_GB2312" w:cs="仿宋_GB2312" w:eastAsia="仿宋_GB2312"/>
        </w:rPr>
        <w:t>采购包最高限价（元）: 1,480,000.00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对省局相关业务系统定期开展商用密码安全性评估工作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标的名称：对省局相关业务系统定期开展商用密码安全性评估工作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项目概况</w:t>
            </w:r>
          </w:p>
          <w:p>
            <w:pPr>
              <w:pStyle w:val="null3"/>
              <w:ind w:firstLine="480"/>
            </w:pPr>
            <w:r>
              <w:rPr>
                <w:rFonts w:ascii="仿宋_GB2312" w:hAnsi="仿宋_GB2312" w:cs="仿宋_GB2312" w:eastAsia="仿宋_GB2312"/>
                <w:sz w:val="20"/>
              </w:rPr>
              <w:t>为全面贯彻总体国家安全观和网络强国战略，做好国产密码应用推进工作，需要加强商用密码应用的工作部署和推进普及，在保证商用密码应用大力推广和普及的同时，做好网络与信息系统的商用密码应用安全性评估，确保商用密码应用的合规、正确、有效。对陕西省市场监督管理局信息系统开展商用密码安全性评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测评目的及</w:t>
            </w:r>
            <w:r>
              <w:rPr>
                <w:rFonts w:ascii="仿宋_GB2312" w:hAnsi="仿宋_GB2312" w:cs="仿宋_GB2312" w:eastAsia="仿宋_GB2312"/>
                <w:sz w:val="20"/>
                <w:b/>
              </w:rPr>
              <w:t>范围</w:t>
            </w:r>
          </w:p>
          <w:p>
            <w:pPr>
              <w:pStyle w:val="null3"/>
              <w:ind w:firstLine="480"/>
            </w:pPr>
            <w:r>
              <w:rPr>
                <w:rFonts w:ascii="仿宋_GB2312" w:hAnsi="仿宋_GB2312" w:cs="仿宋_GB2312" w:eastAsia="仿宋_GB2312"/>
                <w:sz w:val="20"/>
              </w:rPr>
              <w:t>依据《信息系统密码应用基本要求》，针对目标系统从技术要求、密钥管理、安全管理三个角度出发，围绕信息系统的物理和环境安全、网络和通信安全、设备和计算安全、应用和数据安全以及密钥管理、安全管理开展密码测评工作，以期发现信息系统与其相应安全等级要求之间的差距以及存在的安全隐患，为密码应用测评标准提供工作建议，保障信息系统密码合规、正确、有效地应用。</w:t>
            </w:r>
          </w:p>
          <w:p>
            <w:pPr>
              <w:pStyle w:val="null3"/>
              <w:ind w:firstLine="480"/>
            </w:pPr>
            <w:r>
              <w:rPr>
                <w:rFonts w:ascii="仿宋_GB2312" w:hAnsi="仿宋_GB2312" w:cs="仿宋_GB2312" w:eastAsia="仿宋_GB2312"/>
                <w:sz w:val="20"/>
              </w:rPr>
              <w:t>密码测评的目的是通过对目标系统在安全技术及管理方面的测评，对目标系统的安全技术状态及安全管理状况做出初步判断，给出目标系统在安全技术及安全管理方面与其相应安全等级要求之间的差距。测评结论作为采购人进一步完善系统安全策略及安全技术防护措施依据。</w:t>
            </w:r>
          </w:p>
          <w:p>
            <w:pPr>
              <w:pStyle w:val="null3"/>
              <w:ind w:firstLine="480"/>
            </w:pPr>
            <w:r>
              <w:rPr>
                <w:rFonts w:ascii="仿宋_GB2312" w:hAnsi="仿宋_GB2312" w:cs="仿宋_GB2312" w:eastAsia="仿宋_GB2312"/>
                <w:sz w:val="20"/>
              </w:rPr>
              <w:t>供应商需提供整改建议咨询服务。</w:t>
            </w:r>
          </w:p>
          <w:p>
            <w:pPr>
              <w:pStyle w:val="null3"/>
              <w:ind w:firstLine="480"/>
            </w:pPr>
            <w:r>
              <w:rPr>
                <w:rFonts w:ascii="仿宋_GB2312" w:hAnsi="仿宋_GB2312" w:cs="仿宋_GB2312" w:eastAsia="仿宋_GB2312"/>
                <w:sz w:val="20"/>
              </w:rPr>
              <w:t>本次陕西省市场监督管理局商用密码安全性评估的</w:t>
            </w:r>
            <w:r>
              <w:rPr>
                <w:rFonts w:ascii="仿宋_GB2312" w:hAnsi="仿宋_GB2312" w:cs="仿宋_GB2312" w:eastAsia="仿宋_GB2312"/>
                <w:sz w:val="20"/>
              </w:rPr>
              <w:t>评估</w:t>
            </w:r>
            <w:r>
              <w:rPr>
                <w:rFonts w:ascii="仿宋_GB2312" w:hAnsi="仿宋_GB2312" w:cs="仿宋_GB2312" w:eastAsia="仿宋_GB2312"/>
                <w:sz w:val="20"/>
              </w:rPr>
              <w:t>范围为陕西省市场监督管理局部署业务，共计</w:t>
            </w:r>
            <w:r>
              <w:rPr>
                <w:rFonts w:ascii="仿宋_GB2312" w:hAnsi="仿宋_GB2312" w:cs="仿宋_GB2312" w:eastAsia="仿宋_GB2312"/>
                <w:sz w:val="20"/>
              </w:rPr>
              <w:t>16</w:t>
            </w:r>
            <w:r>
              <w:rPr>
                <w:rFonts w:ascii="仿宋_GB2312" w:hAnsi="仿宋_GB2312" w:cs="仿宋_GB2312" w:eastAsia="仿宋_GB2312"/>
                <w:sz w:val="20"/>
              </w:rPr>
              <w:t>个系统，具体清单如下：</w:t>
            </w:r>
          </w:p>
          <w:tbl>
            <w:tblPr>
              <w:tblBorders>
                <w:top w:val="none" w:color="000000" w:sz="4"/>
                <w:left w:val="none" w:color="000000" w:sz="4"/>
                <w:bottom w:val="none" w:color="000000" w:sz="4"/>
                <w:right w:val="none" w:color="000000" w:sz="4"/>
                <w:insideH w:val="none"/>
                <w:insideV w:val="none"/>
              </w:tblBorders>
            </w:tblPr>
            <w:tblGrid>
              <w:gridCol w:w="238"/>
              <w:gridCol w:w="1871"/>
              <w:gridCol w:w="444"/>
            </w:tblGrid>
            <w:tr>
              <w:tc>
                <w:tcPr>
                  <w:tcW w:type="dxa" w:w="238"/>
                  <w:tcBorders>
                    <w:top w:val="single" w:color="000000" w:sz="4"/>
                    <w:left w:val="singl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1871"/>
                  <w:tcBorders>
                    <w:top w:val="single" w:color="000000" w:sz="4"/>
                    <w:left w:val="non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0"/>
                    </w:rPr>
                    <w:t>测评系统名称</w:t>
                  </w:r>
                </w:p>
              </w:tc>
              <w:tc>
                <w:tcPr>
                  <w:tcW w:type="dxa" w:w="444"/>
                  <w:tcBorders>
                    <w:top w:val="single" w:color="000000" w:sz="4"/>
                    <w:left w:val="non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0"/>
                    </w:rPr>
                    <w:t>定级情况</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国家企业信用信息公示系统</w:t>
                  </w:r>
                  <w:r>
                    <w:rPr>
                      <w:rFonts w:ascii="仿宋_GB2312" w:hAnsi="仿宋_GB2312" w:cs="仿宋_GB2312" w:eastAsia="仿宋_GB2312"/>
                      <w:sz w:val="20"/>
                    </w:rPr>
                    <w:t>(陕西)-主体监管</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陕西省市场监督管理局市场主体综合业务系统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陕西省市场监督管理局电子营业执照系统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w:t>
                  </w:r>
                  <w:r>
                    <w:rPr>
                      <w:rFonts w:ascii="仿宋_GB2312" w:hAnsi="仿宋_GB2312" w:cs="仿宋_GB2312" w:eastAsia="仿宋_GB2312"/>
                      <w:sz w:val="20"/>
                    </w:rPr>
                    <w:t>“双随机、一公开”监管工作平台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陕西省市场监督管理局网络交易监管智慧化平台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受办分离登记平台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数据共享交换平台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陕西省市场监督管理局检验检测综合业务管理系统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陕西省市场监督管理局产品质量安全监管系统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陕西省食品安全监管综合业务系统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陕西省特种设备智慧监管平台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陕西省市场监督管理局计量业务综合管理信息平台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陕西省市场监督管里局数智市监大数据支撑体系建设项目（数据中台）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陕西省小个专党建综合服务管理平台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陕西省市场监督管理局智慧云中心</w:t>
                  </w:r>
                  <w:r>
                    <w:rPr>
                      <w:rFonts w:ascii="仿宋_GB2312" w:hAnsi="仿宋_GB2312" w:cs="仿宋_GB2312" w:eastAsia="仿宋_GB2312"/>
                      <w:sz w:val="20"/>
                    </w:rPr>
                    <w:t>(智慧市监)</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陕西省市场监督管理局门户网站</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bl>
          <w:p>
            <w:pPr>
              <w:pStyle w:val="null3"/>
              <w:ind w:firstLine="480"/>
            </w:pPr>
            <w:r>
              <w:rPr>
                <w:rFonts w:ascii="仿宋_GB2312" w:hAnsi="仿宋_GB2312" w:cs="仿宋_GB2312" w:eastAsia="仿宋_GB2312"/>
                <w:sz w:val="20"/>
                <w:b/>
              </w:rPr>
              <w:t>三、</w:t>
            </w:r>
            <w:r>
              <w:rPr>
                <w:rFonts w:ascii="仿宋_GB2312" w:hAnsi="仿宋_GB2312" w:cs="仿宋_GB2312" w:eastAsia="仿宋_GB2312"/>
                <w:sz w:val="20"/>
                <w:b/>
              </w:rPr>
              <w:t>测评依据</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1）法律法规：</w:t>
            </w:r>
          </w:p>
          <w:p>
            <w:pPr>
              <w:pStyle w:val="null3"/>
              <w:jc w:val="both"/>
            </w:pPr>
            <w:r>
              <w:rPr>
                <w:rFonts w:ascii="仿宋_GB2312" w:hAnsi="仿宋_GB2312" w:cs="仿宋_GB2312" w:eastAsia="仿宋_GB2312"/>
                <w:sz w:val="20"/>
                <w:shd w:fill="FFFFFF" w:val="clear"/>
              </w:rPr>
              <w:t>《中华人民共和国密码法》</w:t>
            </w:r>
          </w:p>
          <w:p>
            <w:pPr>
              <w:pStyle w:val="null3"/>
              <w:jc w:val="both"/>
            </w:pPr>
            <w:r>
              <w:rPr>
                <w:rFonts w:ascii="仿宋_GB2312" w:hAnsi="仿宋_GB2312" w:cs="仿宋_GB2312" w:eastAsia="仿宋_GB2312"/>
                <w:sz w:val="20"/>
                <w:shd w:fill="FFFFFF" w:val="clear"/>
              </w:rPr>
              <w:t>《中华人民共和国电子签名法》</w:t>
            </w:r>
          </w:p>
          <w:p>
            <w:pPr>
              <w:pStyle w:val="null3"/>
              <w:jc w:val="both"/>
            </w:pPr>
            <w:r>
              <w:rPr>
                <w:rFonts w:ascii="仿宋_GB2312" w:hAnsi="仿宋_GB2312" w:cs="仿宋_GB2312" w:eastAsia="仿宋_GB2312"/>
                <w:sz w:val="20"/>
                <w:shd w:fill="FFFFFF" w:val="clear"/>
              </w:rPr>
              <w:t>《中华人民共和国网络安全法》</w:t>
            </w:r>
          </w:p>
          <w:p>
            <w:pPr>
              <w:pStyle w:val="null3"/>
              <w:jc w:val="both"/>
            </w:pPr>
            <w:r>
              <w:rPr>
                <w:rFonts w:ascii="仿宋_GB2312" w:hAnsi="仿宋_GB2312" w:cs="仿宋_GB2312" w:eastAsia="仿宋_GB2312"/>
                <w:sz w:val="20"/>
                <w:shd w:fill="FFFFFF" w:val="clear"/>
              </w:rPr>
              <w:t>《中华人民共和国个人信息保护法》</w:t>
            </w:r>
          </w:p>
          <w:p>
            <w:pPr>
              <w:pStyle w:val="null3"/>
              <w:jc w:val="both"/>
            </w:pPr>
            <w:r>
              <w:rPr>
                <w:rFonts w:ascii="仿宋_GB2312" w:hAnsi="仿宋_GB2312" w:cs="仿宋_GB2312" w:eastAsia="仿宋_GB2312"/>
                <w:sz w:val="20"/>
                <w:shd w:fill="FFFFFF" w:val="clear"/>
              </w:rPr>
              <w:t>《中华人民共和国数据安全法》</w:t>
            </w:r>
          </w:p>
          <w:p>
            <w:pPr>
              <w:pStyle w:val="null3"/>
              <w:jc w:val="both"/>
            </w:pPr>
            <w:r>
              <w:rPr>
                <w:rFonts w:ascii="仿宋_GB2312" w:hAnsi="仿宋_GB2312" w:cs="仿宋_GB2312" w:eastAsia="仿宋_GB2312"/>
                <w:sz w:val="20"/>
                <w:shd w:fill="FFFFFF" w:val="clear"/>
              </w:rPr>
              <w:t>《商用密码管理条例》</w:t>
            </w:r>
          </w:p>
          <w:p>
            <w:pPr>
              <w:pStyle w:val="null3"/>
              <w:jc w:val="both"/>
            </w:pPr>
            <w:r>
              <w:rPr>
                <w:rFonts w:ascii="仿宋_GB2312" w:hAnsi="仿宋_GB2312" w:cs="仿宋_GB2312" w:eastAsia="仿宋_GB2312"/>
                <w:sz w:val="20"/>
                <w:shd w:fill="FFFFFF" w:val="clear"/>
              </w:rPr>
              <w:t>《国家政务信息化项目建设管理办法》</w:t>
            </w:r>
          </w:p>
          <w:p>
            <w:pPr>
              <w:pStyle w:val="null3"/>
              <w:jc w:val="both"/>
            </w:pPr>
            <w:r>
              <w:rPr>
                <w:rFonts w:ascii="仿宋_GB2312" w:hAnsi="仿宋_GB2312" w:cs="仿宋_GB2312" w:eastAsia="仿宋_GB2312"/>
                <w:sz w:val="20"/>
                <w:shd w:fill="FFFFFF" w:val="clear"/>
              </w:rPr>
              <w:t>《电子认证服务管理办法》</w:t>
            </w:r>
          </w:p>
          <w:p>
            <w:pPr>
              <w:pStyle w:val="null3"/>
              <w:jc w:val="both"/>
            </w:pPr>
            <w:r>
              <w:rPr>
                <w:rFonts w:ascii="仿宋_GB2312" w:hAnsi="仿宋_GB2312" w:cs="仿宋_GB2312" w:eastAsia="仿宋_GB2312"/>
                <w:sz w:val="20"/>
                <w:shd w:fill="FFFFFF" w:val="clear"/>
              </w:rPr>
              <w:t>《信息安全等级保护商用密码管理办法》</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2）行业标准及其他依据：</w:t>
            </w:r>
          </w:p>
          <w:p>
            <w:pPr>
              <w:pStyle w:val="null3"/>
              <w:jc w:val="both"/>
            </w:pPr>
            <w:r>
              <w:rPr>
                <w:rFonts w:ascii="仿宋_GB2312" w:hAnsi="仿宋_GB2312" w:cs="仿宋_GB2312" w:eastAsia="仿宋_GB2312"/>
                <w:sz w:val="20"/>
                <w:shd w:fill="FFFFFF" w:val="clear"/>
              </w:rPr>
              <w:t>GB/T 39786-2021《信息安全技术 信息系统密码应用基本要求》</w:t>
            </w:r>
          </w:p>
          <w:p>
            <w:pPr>
              <w:pStyle w:val="null3"/>
              <w:jc w:val="both"/>
            </w:pPr>
            <w:r>
              <w:rPr>
                <w:rFonts w:ascii="仿宋_GB2312" w:hAnsi="仿宋_GB2312" w:cs="仿宋_GB2312" w:eastAsia="仿宋_GB2312"/>
                <w:sz w:val="20"/>
                <w:shd w:fill="FFFFFF" w:val="clear"/>
              </w:rPr>
              <w:t>GB/T 43206-2023《信息安全技术 信息系统密码应用测评要求》</w:t>
            </w:r>
          </w:p>
          <w:p>
            <w:pPr>
              <w:pStyle w:val="null3"/>
              <w:jc w:val="both"/>
            </w:pPr>
            <w:r>
              <w:rPr>
                <w:rFonts w:ascii="仿宋_GB2312" w:hAnsi="仿宋_GB2312" w:cs="仿宋_GB2312" w:eastAsia="仿宋_GB2312"/>
                <w:sz w:val="20"/>
                <w:shd w:fill="FFFFFF" w:val="clear"/>
              </w:rPr>
              <w:t>《商用密码应用安全性评估管理办法》</w:t>
            </w:r>
          </w:p>
          <w:p>
            <w:pPr>
              <w:pStyle w:val="null3"/>
              <w:jc w:val="both"/>
            </w:pPr>
            <w:r>
              <w:rPr>
                <w:rFonts w:ascii="仿宋_GB2312" w:hAnsi="仿宋_GB2312" w:cs="仿宋_GB2312" w:eastAsia="仿宋_GB2312"/>
                <w:sz w:val="20"/>
                <w:shd w:fill="FFFFFF" w:val="clear"/>
              </w:rPr>
              <w:t>《商用密码检测机构管理办法》</w:t>
            </w:r>
          </w:p>
          <w:p>
            <w:pPr>
              <w:pStyle w:val="null3"/>
              <w:jc w:val="both"/>
            </w:pPr>
            <w:r>
              <w:rPr>
                <w:rFonts w:ascii="仿宋_GB2312" w:hAnsi="仿宋_GB2312" w:cs="仿宋_GB2312" w:eastAsia="仿宋_GB2312"/>
                <w:sz w:val="20"/>
                <w:shd w:fill="FFFFFF" w:val="clear"/>
              </w:rPr>
              <w:t>《系统密码应用方案》</w:t>
            </w:r>
          </w:p>
          <w:p>
            <w:pPr>
              <w:pStyle w:val="null3"/>
              <w:jc w:val="both"/>
            </w:pPr>
            <w:r>
              <w:rPr>
                <w:rFonts w:ascii="仿宋_GB2312" w:hAnsi="仿宋_GB2312" w:cs="仿宋_GB2312" w:eastAsia="仿宋_GB2312"/>
                <w:sz w:val="20"/>
                <w:shd w:fill="FFFFFF" w:val="clear"/>
              </w:rPr>
              <w:t>密码应用管理相关制度文件</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测评原则</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1）客观公正原则</w:t>
            </w:r>
          </w:p>
          <w:p>
            <w:pPr>
              <w:pStyle w:val="null3"/>
              <w:jc w:val="both"/>
            </w:pPr>
            <w:r>
              <w:rPr>
                <w:rFonts w:ascii="仿宋_GB2312" w:hAnsi="仿宋_GB2312" w:cs="仿宋_GB2312" w:eastAsia="仿宋_GB2312"/>
                <w:sz w:val="20"/>
                <w:shd w:fill="FFFFFF" w:val="clear"/>
              </w:rPr>
              <w:t>测评人员保证在最小主观判断情形下，按照双方认可的测评方案，基于明确定义的测评方式和解释，实施测评活动。</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2）经济性和可重用性原则</w:t>
            </w:r>
          </w:p>
          <w:p>
            <w:pPr>
              <w:pStyle w:val="null3"/>
              <w:jc w:val="both"/>
            </w:pPr>
            <w:r>
              <w:rPr>
                <w:rFonts w:ascii="仿宋_GB2312" w:hAnsi="仿宋_GB2312" w:cs="仿宋_GB2312" w:eastAsia="仿宋_GB2312"/>
                <w:sz w:val="20"/>
                <w:shd w:fill="FFFFFF" w:val="clear"/>
              </w:rPr>
              <w:t>测评工作采信可重用已有测评结果中相同的检测项目，包括商用密码安全产品测评结果，信息系统密码测评结果和等级保护测评结果。所有重用结果都以结果适用于待测系统为前提，并能够客观反映目前系统的安全状态。</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3）可重复性和可再现性原则</w:t>
            </w:r>
          </w:p>
          <w:p>
            <w:pPr>
              <w:pStyle w:val="null3"/>
              <w:jc w:val="both"/>
            </w:pPr>
            <w:r>
              <w:rPr>
                <w:rFonts w:ascii="仿宋_GB2312" w:hAnsi="仿宋_GB2312" w:cs="仿宋_GB2312" w:eastAsia="仿宋_GB2312"/>
                <w:sz w:val="20"/>
                <w:shd w:fill="FFFFFF" w:val="clear"/>
              </w:rPr>
              <w:t>依照同样的要求，使用同样的测评方法，在同样的环境下，不同的测评机构对每个测评实施过程的重复执行应得到同样的结果。可再现性和可重复性的区别在于，前者关注不同测评者测评结果的一致性，后者则与同一测评者测评结果的一致性有关。</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4）结果完善性原则</w:t>
            </w:r>
          </w:p>
          <w:p>
            <w:pPr>
              <w:pStyle w:val="null3"/>
              <w:jc w:val="both"/>
            </w:pPr>
            <w:r>
              <w:rPr>
                <w:rFonts w:ascii="仿宋_GB2312" w:hAnsi="仿宋_GB2312" w:cs="仿宋_GB2312" w:eastAsia="仿宋_GB2312"/>
                <w:sz w:val="20"/>
                <w:shd w:fill="FFFFFF" w:val="clear"/>
              </w:rPr>
              <w:t>在正确理解《信息系统密码应用基本要求》各个要求项内容的基础之上，检测所产生的结果应客观反映信息系统的运行状态。测评过程和结果应服从正确的测评方法，以确保其满足要求。</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密码应用安全性评估测评实施</w:t>
            </w:r>
          </w:p>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1）</w:t>
            </w:r>
            <w:r>
              <w:rPr>
                <w:rFonts w:ascii="仿宋_GB2312" w:hAnsi="仿宋_GB2312" w:cs="仿宋_GB2312" w:eastAsia="仿宋_GB2312"/>
                <w:sz w:val="20"/>
                <w:b/>
                <w:shd w:fill="FFFFFF" w:val="clear"/>
              </w:rPr>
              <w:t>测评目标</w:t>
            </w:r>
          </w:p>
          <w:p>
            <w:pPr>
              <w:pStyle w:val="null3"/>
              <w:jc w:val="both"/>
            </w:pPr>
            <w:r>
              <w:rPr>
                <w:rFonts w:ascii="仿宋_GB2312" w:hAnsi="仿宋_GB2312" w:cs="仿宋_GB2312" w:eastAsia="仿宋_GB2312"/>
                <w:sz w:val="20"/>
                <w:shd w:fill="FFFFFF" w:val="clear"/>
              </w:rPr>
              <w:t>对信息系统所使用的密码算法、密码技术、密码产品、密码服务进行合规性测评。信息系统中使用的密码算法应符合法律、法规的规定和密码相关国家标准、行业标准的有关要求；信息系统中使用的密码技术应遵循密码相关国家标准和行业标准；信息系统中使用的密码产品、密码服务应符合法律法规的相关要求。从信息系统的物理和环境安全、网络和通信安全、设备和计算安全、应用和数据安全、管理制度、人员管理、建设运行、应急处置对其密码应用基本要求进行测评，验证信息系统的商用密码应用基本要求是否达到其所对应网络安全等级保护级别的密码应用安全保护能力，是否满足对应安全等级的保护要求。</w:t>
            </w:r>
          </w:p>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2）</w:t>
            </w:r>
            <w:r>
              <w:rPr>
                <w:rFonts w:ascii="仿宋_GB2312" w:hAnsi="仿宋_GB2312" w:cs="仿宋_GB2312" w:eastAsia="仿宋_GB2312"/>
                <w:sz w:val="20"/>
                <w:b/>
                <w:shd w:fill="FFFFFF" w:val="clear"/>
              </w:rPr>
              <w:t>测评方法</w:t>
            </w:r>
          </w:p>
          <w:p>
            <w:pPr>
              <w:pStyle w:val="null3"/>
              <w:jc w:val="both"/>
            </w:pPr>
            <w:r>
              <w:rPr>
                <w:rFonts w:ascii="仿宋_GB2312" w:hAnsi="仿宋_GB2312" w:cs="仿宋_GB2312" w:eastAsia="仿宋_GB2312"/>
                <w:sz w:val="20"/>
                <w:b/>
                <w:shd w:fill="FFFFFF" w:val="clear"/>
              </w:rPr>
              <w:t>1）</w:t>
            </w:r>
            <w:r>
              <w:rPr>
                <w:rFonts w:ascii="仿宋_GB2312" w:hAnsi="仿宋_GB2312" w:cs="仿宋_GB2312" w:eastAsia="仿宋_GB2312"/>
                <w:sz w:val="20"/>
                <w:b/>
                <w:shd w:fill="FFFFFF" w:val="clear"/>
              </w:rPr>
              <w:t>测评方式</w:t>
            </w:r>
          </w:p>
          <w:p>
            <w:pPr>
              <w:pStyle w:val="null3"/>
              <w:jc w:val="both"/>
            </w:pPr>
            <w:r>
              <w:rPr>
                <w:rFonts w:ascii="仿宋_GB2312" w:hAnsi="仿宋_GB2312" w:cs="仿宋_GB2312" w:eastAsia="仿宋_GB2312"/>
                <w:sz w:val="20"/>
                <w:shd w:fill="FFFFFF" w:val="clear"/>
              </w:rPr>
              <w:t>本次密评的主要方式有：访谈、文档审查、配置审查、工具测试、实地察看。</w:t>
            </w:r>
          </w:p>
          <w:p>
            <w:pPr>
              <w:pStyle w:val="null3"/>
              <w:jc w:val="both"/>
            </w:pPr>
            <w:r>
              <w:rPr>
                <w:rFonts w:ascii="仿宋_GB2312" w:hAnsi="仿宋_GB2312" w:cs="仿宋_GB2312" w:eastAsia="仿宋_GB2312"/>
                <w:sz w:val="20"/>
                <w:b/>
                <w:shd w:fill="FFFFFF" w:val="clear"/>
              </w:rPr>
              <w:t>2）</w:t>
            </w:r>
            <w:r>
              <w:rPr>
                <w:rFonts w:ascii="仿宋_GB2312" w:hAnsi="仿宋_GB2312" w:cs="仿宋_GB2312" w:eastAsia="仿宋_GB2312"/>
                <w:sz w:val="20"/>
                <w:b/>
                <w:shd w:fill="FFFFFF" w:val="clear"/>
              </w:rPr>
              <w:t>风险分析及防范措施</w:t>
            </w:r>
          </w:p>
          <w:p>
            <w:pPr>
              <w:pStyle w:val="null3"/>
              <w:jc w:val="both"/>
            </w:pPr>
            <w:r>
              <w:rPr>
                <w:rFonts w:ascii="仿宋_GB2312" w:hAnsi="仿宋_GB2312" w:cs="仿宋_GB2312" w:eastAsia="仿宋_GB2312"/>
                <w:sz w:val="20"/>
                <w:shd w:fill="FFFFFF" w:val="clear"/>
              </w:rPr>
              <w:t>供应商应制定风险防范措施，针对测评阶段可能面临的风险制定风险规避措施，应包含测评环节各类常见风险。</w:t>
            </w:r>
          </w:p>
          <w:p>
            <w:pPr>
              <w:pStyle w:val="null3"/>
              <w:jc w:val="both"/>
            </w:pPr>
            <w:r>
              <w:rPr>
                <w:rFonts w:ascii="仿宋_GB2312" w:hAnsi="仿宋_GB2312" w:cs="仿宋_GB2312" w:eastAsia="仿宋_GB2312"/>
                <w:sz w:val="20"/>
                <w:b/>
                <w:shd w:fill="FFFFFF" w:val="clear"/>
              </w:rPr>
              <w:t>3）</w:t>
            </w:r>
            <w:r>
              <w:rPr>
                <w:rFonts w:ascii="仿宋_GB2312" w:hAnsi="仿宋_GB2312" w:cs="仿宋_GB2312" w:eastAsia="仿宋_GB2312"/>
                <w:sz w:val="20"/>
                <w:b/>
                <w:shd w:fill="FFFFFF" w:val="clear"/>
              </w:rPr>
              <w:t>测评指标</w:t>
            </w:r>
          </w:p>
          <w:p>
            <w:pPr>
              <w:pStyle w:val="null3"/>
              <w:jc w:val="both"/>
            </w:pPr>
            <w:r>
              <w:rPr>
                <w:rFonts w:ascii="仿宋_GB2312" w:hAnsi="仿宋_GB2312" w:cs="仿宋_GB2312" w:eastAsia="仿宋_GB2312"/>
                <w:sz w:val="20"/>
                <w:shd w:fill="FFFFFF" w:val="clear"/>
              </w:rPr>
              <w:t>依据信息系统确定的业务信息安全保护等级和系统服务安全保护等级，选择</w:t>
            </w:r>
            <w:r>
              <w:rPr>
                <w:rFonts w:ascii="仿宋_GB2312" w:hAnsi="仿宋_GB2312" w:cs="仿宋_GB2312" w:eastAsia="仿宋_GB2312"/>
                <w:sz w:val="20"/>
                <w:shd w:fill="FFFFFF" w:val="clear"/>
              </w:rPr>
              <w:t>GB/T 39786-2021《信息安全技术 信息系统密码应用基本要求》中对应级别的安全要求作为密码测评的基本指标。</w:t>
            </w:r>
          </w:p>
          <w:p>
            <w:pPr>
              <w:pStyle w:val="null3"/>
              <w:jc w:val="both"/>
            </w:pPr>
            <w:r>
              <w:rPr>
                <w:rFonts w:ascii="仿宋_GB2312" w:hAnsi="仿宋_GB2312" w:cs="仿宋_GB2312" w:eastAsia="仿宋_GB2312"/>
                <w:sz w:val="20"/>
                <w:shd w:fill="FFFFFF" w:val="clear"/>
              </w:rPr>
              <w:t>此次待测系统均为等保三级，本次测评指标范围</w:t>
            </w:r>
            <w:r>
              <w:rPr>
                <w:rFonts w:ascii="仿宋_GB2312" w:hAnsi="仿宋_GB2312" w:cs="仿宋_GB2312" w:eastAsia="仿宋_GB2312"/>
                <w:sz w:val="20"/>
                <w:shd w:fill="FFFFFF" w:val="clear"/>
              </w:rPr>
              <w:t>,如表1所示。</w:t>
            </w:r>
          </w:p>
          <w:p>
            <w:pPr>
              <w:pStyle w:val="null3"/>
              <w:jc w:val="both"/>
            </w:pPr>
            <w:r>
              <w:rPr>
                <w:rFonts w:ascii="仿宋_GB2312" w:hAnsi="仿宋_GB2312" w:cs="仿宋_GB2312" w:eastAsia="仿宋_GB2312"/>
                <w:sz w:val="20"/>
                <w:shd w:fill="FFFFFF" w:val="clear"/>
              </w:rPr>
              <w:t>测评范围内的测评指标：</w:t>
            </w:r>
          </w:p>
          <w:p>
            <w:pPr>
              <w:pStyle w:val="null3"/>
              <w:jc w:val="both"/>
            </w:pPr>
            <w:r>
              <w:rPr>
                <w:rFonts w:ascii="仿宋_GB2312" w:hAnsi="仿宋_GB2312" w:cs="仿宋_GB2312" w:eastAsia="仿宋_GB2312"/>
                <w:sz w:val="20"/>
                <w:shd w:fill="FFFFFF" w:val="clear"/>
              </w:rPr>
              <w:t>表</w:t>
            </w:r>
            <w:r>
              <w:rPr>
                <w:rFonts w:ascii="仿宋_GB2312" w:hAnsi="仿宋_GB2312" w:cs="仿宋_GB2312" w:eastAsia="仿宋_GB2312"/>
                <w:sz w:val="20"/>
                <w:shd w:fill="FFFFFF" w:val="clear"/>
              </w:rPr>
              <w:t>1　测评范围内测评指标列表</w:t>
            </w:r>
          </w:p>
          <w:tbl>
            <w:tblPr>
              <w:tblInd w:type="dxa" w:w="135"/>
              <w:tblBorders>
                <w:top w:val="none" w:color="000000" w:sz="4"/>
                <w:left w:val="none" w:color="000000" w:sz="4"/>
                <w:bottom w:val="none" w:color="000000" w:sz="4"/>
                <w:right w:val="none" w:color="000000" w:sz="4"/>
                <w:insideH w:val="none"/>
                <w:insideV w:val="none"/>
              </w:tblBorders>
            </w:tblPr>
            <w:tblGrid>
              <w:gridCol w:w="154"/>
              <w:gridCol w:w="637"/>
              <w:gridCol w:w="1756"/>
            </w:tblGrid>
            <w:tr>
              <w:tc>
                <w:tcPr>
                  <w:tcW w:type="dxa" w:w="1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序号</w:t>
                  </w:r>
                </w:p>
              </w:tc>
              <w:tc>
                <w:tcPr>
                  <w:tcW w:type="dxa" w:w="6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层面</w:t>
                  </w:r>
                </w:p>
              </w:tc>
              <w:tc>
                <w:tcPr>
                  <w:tcW w:type="dxa" w:w="17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测评指标</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1</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物理和环境安全</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身份鉴别</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电子门禁记录数据完整性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视频记录数完整性</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2</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网络和通信安全</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身份鉴别</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网络边界访问控制信息的完整性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通信数据完整性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通信数据机密性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安全接入认证</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3</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设备和计算安全</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身份鉴别</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远程管理通道安全</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系统资源访问控制信息完整性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重要信息资源安全标记完整性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日志记录完整性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重要可执行程序完整性、重要可执行程序来源真实性</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4</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应用和数据安全</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身份鉴别</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访问控制完整性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数据传输机密性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数据存储机密性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数据传输完整性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数据存储完整性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日志完整性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重要信息资源安全标记完整性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不可否认性</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5</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安全管理</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管理制度</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人员管理</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建设运行</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应急处置</w:t>
                  </w:r>
                </w:p>
              </w:tc>
            </w:tr>
          </w:tbl>
          <w:p>
            <w:pPr>
              <w:pStyle w:val="null3"/>
              <w:jc w:val="both"/>
            </w:pPr>
            <w:r>
              <w:rPr>
                <w:rFonts w:ascii="仿宋_GB2312" w:hAnsi="仿宋_GB2312" w:cs="仿宋_GB2312" w:eastAsia="仿宋_GB2312"/>
                <w:sz w:val="20"/>
                <w:b/>
                <w:shd w:fill="FFFFFF" w:val="clear"/>
              </w:rPr>
              <w:t>4）</w:t>
            </w:r>
            <w:r>
              <w:rPr>
                <w:rFonts w:ascii="仿宋_GB2312" w:hAnsi="仿宋_GB2312" w:cs="仿宋_GB2312" w:eastAsia="仿宋_GB2312"/>
                <w:sz w:val="20"/>
                <w:b/>
                <w:shd w:fill="FFFFFF" w:val="clear"/>
              </w:rPr>
              <w:t>测评内容</w:t>
            </w:r>
          </w:p>
          <w:p>
            <w:pPr>
              <w:pStyle w:val="null3"/>
              <w:jc w:val="both"/>
            </w:pPr>
            <w:r>
              <w:rPr>
                <w:rFonts w:ascii="仿宋_GB2312" w:hAnsi="仿宋_GB2312" w:cs="仿宋_GB2312" w:eastAsia="仿宋_GB2312"/>
                <w:sz w:val="20"/>
                <w:shd w:fill="FFFFFF" w:val="clear"/>
              </w:rPr>
              <w:t>依据《信息安全技术信息系统密码应用基本要求》（</w:t>
            </w:r>
            <w:r>
              <w:rPr>
                <w:rFonts w:ascii="仿宋_GB2312" w:hAnsi="仿宋_GB2312" w:cs="仿宋_GB2312" w:eastAsia="仿宋_GB2312"/>
                <w:sz w:val="20"/>
                <w:shd w:fill="FFFFFF" w:val="clear"/>
              </w:rPr>
              <w:t>GB/T39786-2021）《信息安全技术 信息系统密码应用测评要求》（GB/T 43206-2023）和系统自身的安全性需求分析，对待测系统进行密评工作，服务内容包括：物理和环境安全测评、网络和通信安全测评、设备和计算安全测评、应用和数据安全测评，密钥管理测评、安全管理测评、整体测评与风险评估、提出系统整改建议等，结合量化评估准则，输出测评结果。</w:t>
            </w:r>
          </w:p>
          <w:p>
            <w:pPr>
              <w:pStyle w:val="null3"/>
              <w:jc w:val="both"/>
            </w:pPr>
            <w:r>
              <w:rPr>
                <w:rFonts w:ascii="仿宋_GB2312" w:hAnsi="仿宋_GB2312" w:cs="仿宋_GB2312" w:eastAsia="仿宋_GB2312"/>
                <w:sz w:val="20"/>
                <w:shd w:fill="FFFFFF" w:val="clear"/>
              </w:rPr>
              <w:t>根据项目内容要求，以电子版或纸版形式按需求输出成果，并针对采购人的咨询进行及时反馈，方式不限于现场支撑、邮件、电话或报告。</w:t>
            </w:r>
          </w:p>
          <w:p>
            <w:pPr>
              <w:pStyle w:val="null3"/>
              <w:jc w:val="both"/>
            </w:pPr>
            <w:r>
              <w:rPr>
                <w:rFonts w:ascii="仿宋_GB2312" w:hAnsi="仿宋_GB2312" w:cs="仿宋_GB2312" w:eastAsia="仿宋_GB2312"/>
                <w:sz w:val="20"/>
                <w:shd w:fill="FFFFFF" w:val="clear"/>
              </w:rPr>
              <w:t>密评现场工作完成后，立足于测评获取的数据记录、证据文件、信息资料等，对评估发现的问题提出整改建议，并按照国家密码管理局要求包含的内容或参考模板编制交付正式的密码应用安全性评估报告。</w:t>
            </w:r>
          </w:p>
          <w:p>
            <w:pPr>
              <w:pStyle w:val="null3"/>
              <w:jc w:val="both"/>
            </w:pPr>
            <w:r>
              <w:rPr>
                <w:rFonts w:ascii="仿宋_GB2312" w:hAnsi="仿宋_GB2312" w:cs="仿宋_GB2312" w:eastAsia="仿宋_GB2312"/>
                <w:sz w:val="20"/>
                <w:shd w:fill="FFFFFF" w:val="clear"/>
              </w:rPr>
              <w:t>该项目提交的文档包括但不限于：</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1）提交相关系统的《商用密码应用安全性评估报告》；</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2）整改建议书；</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3）其他服务资料等。</w:t>
            </w:r>
          </w:p>
          <w:p>
            <w:pPr>
              <w:pStyle w:val="null3"/>
              <w:jc w:val="both"/>
            </w:pPr>
            <w:r>
              <w:rPr>
                <w:rFonts w:ascii="仿宋_GB2312" w:hAnsi="仿宋_GB2312" w:cs="仿宋_GB2312" w:eastAsia="仿宋_GB2312"/>
                <w:sz w:val="20"/>
                <w:shd w:fill="FFFFFF" w:val="clear"/>
              </w:rPr>
              <w:t>提交形式：纸质资料一式三份，电子版资料一份。</w:t>
            </w:r>
          </w:p>
          <w:p>
            <w:pPr>
              <w:pStyle w:val="null3"/>
              <w:jc w:val="both"/>
            </w:pPr>
            <w:r>
              <w:rPr>
                <w:rFonts w:ascii="仿宋_GB2312" w:hAnsi="仿宋_GB2312" w:cs="仿宋_GB2312" w:eastAsia="仿宋_GB2312"/>
                <w:sz w:val="20"/>
                <w:shd w:fill="FFFFFF" w:val="clear"/>
              </w:rPr>
              <w:t>服务期限内，提供密码应用安全性评估相关问题的咨询；协助采购人进行密码应用安全性评估相关备案、培训等工作。</w:t>
            </w:r>
          </w:p>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3）</w:t>
            </w:r>
            <w:r>
              <w:rPr>
                <w:rFonts w:ascii="仿宋_GB2312" w:hAnsi="仿宋_GB2312" w:cs="仿宋_GB2312" w:eastAsia="仿宋_GB2312"/>
                <w:sz w:val="20"/>
                <w:b/>
                <w:shd w:fill="FFFFFF" w:val="clear"/>
              </w:rPr>
              <w:t>测评实施流程</w:t>
            </w:r>
          </w:p>
          <w:p>
            <w:pPr>
              <w:pStyle w:val="null3"/>
              <w:jc w:val="both"/>
            </w:pPr>
            <w:r>
              <w:drawing>
                <wp:inline distT="0" distR="0" distB="0" distL="0">
                  <wp:extent cx="1621155" cy="284091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840910"/>
                          </a:xfrm>
                          <a:prstGeom prst="rect">
                            <a:avLst/>
                          </a:prstGeom>
                        </pic:spPr>
                      </pic:pic>
                    </a:graphicData>
                  </a:graphic>
                </wp:inline>
              </w:drawing>
            </w:r>
          </w:p>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4）</w:t>
            </w:r>
            <w:r>
              <w:rPr>
                <w:rFonts w:ascii="仿宋_GB2312" w:hAnsi="仿宋_GB2312" w:cs="仿宋_GB2312" w:eastAsia="仿宋_GB2312"/>
                <w:sz w:val="20"/>
                <w:b/>
                <w:shd w:fill="FFFFFF" w:val="clear"/>
              </w:rPr>
              <w:t>项目实施计划</w:t>
            </w:r>
          </w:p>
          <w:p>
            <w:pPr>
              <w:pStyle w:val="null3"/>
              <w:jc w:val="both"/>
            </w:pPr>
            <w:r>
              <w:rPr>
                <w:rFonts w:ascii="仿宋_GB2312" w:hAnsi="仿宋_GB2312" w:cs="仿宋_GB2312" w:eastAsia="仿宋_GB2312"/>
                <w:sz w:val="20"/>
                <w:shd w:fill="FFFFFF" w:val="clear"/>
              </w:rPr>
              <w:t>附：项目实施计划表</w:t>
            </w:r>
          </w:p>
          <w:tbl>
            <w:tblPr>
              <w:tblInd w:type="dxa" w:w="120"/>
              <w:tblBorders>
                <w:top w:val="none" w:color="000000" w:sz="4"/>
                <w:left w:val="none" w:color="000000" w:sz="4"/>
                <w:bottom w:val="none" w:color="000000" w:sz="4"/>
                <w:right w:val="none" w:color="000000" w:sz="4"/>
                <w:insideH w:val="none"/>
                <w:insideV w:val="none"/>
              </w:tblBorders>
            </w:tblPr>
            <w:tblGrid>
              <w:gridCol w:w="338"/>
              <w:gridCol w:w="762"/>
              <w:gridCol w:w="1453"/>
            </w:tblGrid>
            <w:tr>
              <w:tc>
                <w:tcPr>
                  <w:tcW w:type="dxa" w:w="33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阶段</w:t>
                  </w:r>
                </w:p>
              </w:tc>
              <w:tc>
                <w:tcPr>
                  <w:tcW w:type="dxa" w:w="2215"/>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任务</w:t>
                  </w:r>
                </w:p>
              </w:tc>
            </w:tr>
            <w:tr>
              <w:tc>
                <w:tcPr>
                  <w:tcW w:type="dxa" w:w="33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测评准备阶段</w:t>
                  </w:r>
                </w:p>
              </w:tc>
              <w:tc>
                <w:tcPr>
                  <w:tcW w:type="dxa" w:w="7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实施方案制定</w:t>
                  </w:r>
                </w:p>
              </w:tc>
              <w:tc>
                <w:tcPr>
                  <w:tcW w:type="dxa" w:w="14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内部项目启动会议</w:t>
                  </w:r>
                </w:p>
              </w:tc>
            </w:tr>
            <w:tr>
              <w:tc>
                <w:tcPr>
                  <w:tcW w:type="dxa" w:w="338"/>
                  <w:vMerge/>
                  <w:tcBorders>
                    <w:top w:val="none" w:color="000000" w:sz="4"/>
                    <w:left w:val="single" w:color="000000" w:sz="4"/>
                    <w:bottom w:val="single" w:color="000000" w:sz="4"/>
                    <w:right w:val="single" w:color="000000" w:sz="4"/>
                  </w:tcBorders>
                </w:tcPr>
                <w:p/>
              </w:tc>
              <w:tc>
                <w:tcPr>
                  <w:tcW w:type="dxa" w:w="762"/>
                  <w:vMerge/>
                  <w:tcBorders>
                    <w:top w:val="none" w:color="000000" w:sz="4"/>
                    <w:left w:val="none" w:color="000000" w:sz="4"/>
                    <w:bottom w:val="single" w:color="000000" w:sz="4"/>
                    <w:right w:val="single" w:color="000000" w:sz="4"/>
                  </w:tcBorders>
                </w:tcP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根据系统规模成立项目组、编制项目计划书</w:t>
                  </w:r>
                </w:p>
              </w:tc>
            </w:tr>
            <w:tr>
              <w:tc>
                <w:tcPr>
                  <w:tcW w:type="dxa" w:w="338"/>
                  <w:vMerge/>
                  <w:tcBorders>
                    <w:top w:val="none" w:color="000000" w:sz="4"/>
                    <w:left w:val="single" w:color="000000" w:sz="4"/>
                    <w:bottom w:val="single" w:color="000000" w:sz="4"/>
                    <w:right w:val="single" w:color="000000" w:sz="4"/>
                  </w:tcBorders>
                </w:tcPr>
                <w:p/>
              </w:tc>
              <w:tc>
                <w:tcPr>
                  <w:tcW w:type="dxa" w:w="762"/>
                  <w:vMerge/>
                  <w:tcBorders>
                    <w:top w:val="none" w:color="000000" w:sz="4"/>
                    <w:left w:val="none" w:color="000000" w:sz="4"/>
                    <w:bottom w:val="single" w:color="000000" w:sz="4"/>
                    <w:right w:val="single" w:color="000000" w:sz="4"/>
                  </w:tcBorders>
                </w:tcP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与被测方沟通，填写信息采集表</w:t>
                  </w:r>
                </w:p>
              </w:tc>
            </w:tr>
            <w:tr>
              <w:tc>
                <w:tcPr>
                  <w:tcW w:type="dxa" w:w="338"/>
                  <w:vMerge/>
                  <w:tcBorders>
                    <w:top w:val="none" w:color="000000" w:sz="4"/>
                    <w:left w:val="single" w:color="000000" w:sz="4"/>
                    <w:bottom w:val="single" w:color="000000" w:sz="4"/>
                    <w:right w:val="single" w:color="000000" w:sz="4"/>
                  </w:tcBorders>
                </w:tcPr>
                <w:p/>
              </w:tc>
              <w:tc>
                <w:tcPr>
                  <w:tcW w:type="dxa" w:w="762"/>
                  <w:vMerge/>
                  <w:tcBorders>
                    <w:top w:val="none" w:color="000000" w:sz="4"/>
                    <w:left w:val="none" w:color="000000" w:sz="4"/>
                    <w:bottom w:val="single" w:color="000000" w:sz="4"/>
                    <w:right w:val="single" w:color="000000" w:sz="4"/>
                  </w:tcBorders>
                </w:tcP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实施方案编写</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测评对象确定</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被测系统整体结构、边界、网络区域、重要节点、测评对象等</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测评指标确定</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选择相应等级的安全要求作为测评指标</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测评工具接入点确定</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结合网络拓扑图，选择测试路径</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测试内容确定</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确定单元测评</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测评方案编制</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测评内容、测评实施计划</w:t>
                  </w:r>
                </w:p>
              </w:tc>
            </w:tr>
            <w:tr>
              <w:tc>
                <w:tcPr>
                  <w:tcW w:type="dxa" w:w="33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现场测评阶段</w:t>
                  </w: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现场测评准备</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召开现场首次会议。授权书、确认资源、必要的测评程序更新</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现场测评和结果记录</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人员访谈、文档审查、上机验证、工具测试</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结果确认和资料归还</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召开现场结束会议，确认现场问题。</w:t>
                  </w:r>
                </w:p>
              </w:tc>
            </w:tr>
            <w:tr>
              <w:tc>
                <w:tcPr>
                  <w:tcW w:type="dxa" w:w="3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非现场综合</w:t>
                  </w:r>
                </w:p>
              </w:tc>
              <w:tc>
                <w:tcPr>
                  <w:tcW w:type="dxa" w:w="221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结果判断、整体测评、风险分析</w:t>
                  </w:r>
                </w:p>
              </w:tc>
            </w:tr>
            <w:tr>
              <w:tc>
                <w:tcPr>
                  <w:tcW w:type="dxa" w:w="3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报告出具阶段</w:t>
                  </w:r>
                </w:p>
              </w:tc>
              <w:tc>
                <w:tcPr>
                  <w:tcW w:type="dxa" w:w="221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综合评估及报告生成</w:t>
                  </w:r>
                </w:p>
              </w:tc>
            </w:tr>
          </w:tbl>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5）</w:t>
            </w:r>
            <w:r>
              <w:rPr>
                <w:rFonts w:ascii="仿宋_GB2312" w:hAnsi="仿宋_GB2312" w:cs="仿宋_GB2312" w:eastAsia="仿宋_GB2312"/>
                <w:sz w:val="20"/>
                <w:b/>
                <w:shd w:fill="FFFFFF" w:val="clear"/>
              </w:rPr>
              <w:t>预期成果交付物及服务期限、付款方式</w:t>
            </w:r>
          </w:p>
          <w:p>
            <w:pPr>
              <w:pStyle w:val="null3"/>
              <w:jc w:val="both"/>
            </w:pPr>
            <w:r>
              <w:rPr>
                <w:rFonts w:ascii="仿宋_GB2312" w:hAnsi="仿宋_GB2312" w:cs="仿宋_GB2312" w:eastAsia="仿宋_GB2312"/>
                <w:sz w:val="20"/>
                <w:shd w:fill="FFFFFF" w:val="clear"/>
              </w:rPr>
              <w:t>密码测评工作结束后，根据测评内容记录系统的密码应用现状，出具系统的《商用密码应用安全性评估报告》。测评报告中以密码应用基本要求为基准，逐项比对被测系统密码应用的符合性、规范性和正确性，对与标准存在差异的检查项。</w:t>
            </w:r>
          </w:p>
          <w:tbl>
            <w:tblPr>
              <w:tblBorders>
                <w:top w:val="none" w:color="000000" w:sz="4"/>
                <w:left w:val="none" w:color="000000" w:sz="4"/>
                <w:bottom w:val="none" w:color="000000" w:sz="4"/>
                <w:right w:val="none" w:color="000000" w:sz="4"/>
                <w:insideH w:val="none"/>
                <w:insideV w:val="none"/>
              </w:tblBorders>
            </w:tblPr>
            <w:tblGrid>
              <w:gridCol w:w="267"/>
              <w:gridCol w:w="1459"/>
              <w:gridCol w:w="827"/>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序号</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交付物名称</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介质形式</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1</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《商用密码应用安全性评估报告》</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电子和纸质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2</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《整改建议书》</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电子和纸质</w:t>
                  </w:r>
                </w:p>
              </w:tc>
            </w:tr>
          </w:tbl>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合同履行期限</w:t>
            </w:r>
          </w:p>
          <w:p>
            <w:pPr>
              <w:pStyle w:val="null3"/>
              <w:jc w:val="both"/>
            </w:pPr>
            <w:r>
              <w:rPr>
                <w:rFonts w:ascii="仿宋_GB2312" w:hAnsi="仿宋_GB2312" w:cs="仿宋_GB2312" w:eastAsia="仿宋_GB2312"/>
                <w:sz w:val="20"/>
              </w:rPr>
              <w:t>自合同签订之日起</w:t>
            </w:r>
            <w:r>
              <w:rPr>
                <w:rFonts w:ascii="仿宋_GB2312" w:hAnsi="仿宋_GB2312" w:cs="仿宋_GB2312" w:eastAsia="仿宋_GB2312"/>
                <w:sz w:val="20"/>
              </w:rPr>
              <w:t>叁</w:t>
            </w:r>
            <w:r>
              <w:rPr>
                <w:rFonts w:ascii="仿宋_GB2312" w:hAnsi="仿宋_GB2312" w:cs="仿宋_GB2312" w:eastAsia="仿宋_GB2312"/>
                <w:sz w:val="20"/>
              </w:rPr>
              <w:t>个月</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自合同签订之日起叁个月。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服务完成后 </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供应商须具备国家密码管理局颁发的“商用密码检测机构资质证书”。</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商用密码安全性评估整体方案</w:t>
            </w:r>
          </w:p>
        </w:tc>
        <w:tc>
          <w:tcPr>
            <w:tcW w:type="dxa" w:w="2492"/>
          </w:tcPr>
          <w:p>
            <w:pPr>
              <w:pStyle w:val="null3"/>
            </w:pPr>
            <w:r>
              <w:rPr>
                <w:rFonts w:ascii="仿宋_GB2312" w:hAnsi="仿宋_GB2312" w:cs="仿宋_GB2312" w:eastAsia="仿宋_GB2312"/>
              </w:rPr>
              <w:t>供应商提供商用密码安全性评估整体方案，包括但不限于：评估范围界定、评估周期规划、评估流程设计、评估标准遵循、整体工作统筹、各环节衔接安排、评估与备案衔接方案等措施。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商用密码定期评估实施方案</w:t>
            </w:r>
          </w:p>
        </w:tc>
        <w:tc>
          <w:tcPr>
            <w:tcW w:type="dxa" w:w="2492"/>
          </w:tcPr>
          <w:p>
            <w:pPr>
              <w:pStyle w:val="null3"/>
            </w:pPr>
            <w:r>
              <w:rPr>
                <w:rFonts w:ascii="仿宋_GB2312" w:hAnsi="仿宋_GB2312" w:cs="仿宋_GB2312" w:eastAsia="仿宋_GB2312"/>
              </w:rPr>
              <w:t>投标人提供商用密码定期评估实施方案，包括但不限于：定期评估频次规划、评估指标解读、评估工具选择、密码应用检测、漏洞排查、风险研判、评估数据留存、无干扰评估保障等措施。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商用密码评估问题整改建议方案</w:t>
            </w:r>
          </w:p>
        </w:tc>
        <w:tc>
          <w:tcPr>
            <w:tcW w:type="dxa" w:w="2492"/>
          </w:tcPr>
          <w:p>
            <w:pPr>
              <w:pStyle w:val="null3"/>
            </w:pPr>
            <w:r>
              <w:rPr>
                <w:rFonts w:ascii="仿宋_GB2312" w:hAnsi="仿宋_GB2312" w:cs="仿宋_GB2312" w:eastAsia="仿宋_GB2312"/>
              </w:rPr>
              <w:t>供应商提供商用密码评估问题整改建议方案，包括但不限于：密码应用漏洞分析、风险隐患分级、整改措施制定、整改优先级划分、整改技术指导、整改效果验证、整改流程规范等措施。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评估报告编制及备案方案</w:t>
            </w:r>
          </w:p>
        </w:tc>
        <w:tc>
          <w:tcPr>
            <w:tcW w:type="dxa" w:w="2492"/>
          </w:tcPr>
          <w:p>
            <w:pPr>
              <w:pStyle w:val="null3"/>
            </w:pPr>
            <w:r>
              <w:rPr>
                <w:rFonts w:ascii="仿宋_GB2312" w:hAnsi="仿宋_GB2312" w:cs="仿宋_GB2312" w:eastAsia="仿宋_GB2312"/>
              </w:rPr>
              <w:t>供应商提供评估报告编制及备案方案，包括但不限于：评估报告编制规范、报告内容完整、报告审核流程、备案材料准备、备案提交流程、与监管部门对接、备案问题处理等措施。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项目人员配置方案</w:t>
            </w:r>
          </w:p>
        </w:tc>
        <w:tc>
          <w:tcPr>
            <w:tcW w:type="dxa" w:w="2492"/>
          </w:tcPr>
          <w:p>
            <w:pPr>
              <w:pStyle w:val="null3"/>
            </w:pPr>
            <w:r>
              <w:rPr>
                <w:rFonts w:ascii="仿宋_GB2312" w:hAnsi="仿宋_GB2312" w:cs="仿宋_GB2312" w:eastAsia="仿宋_GB2312"/>
              </w:rPr>
              <w:t>供应商提供项目人员配置方案，包括但不限于：项目负责人配置、商用密码评估专业人员配备、人员资质证明（相关资质）、评估从业经验、人员稳定性保障、专业技能培训、专人对接服务等措施。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供应商提供售后服务方案，包括但不限于：7*24小时响应服务、整改技术支持、备案后续跟进、定期评估售后保障、咨询答疑、服务回访、售后记录管理等措施。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服务承诺方案</w:t>
            </w:r>
          </w:p>
        </w:tc>
        <w:tc>
          <w:tcPr>
            <w:tcW w:type="dxa" w:w="2492"/>
          </w:tcPr>
          <w:p>
            <w:pPr>
              <w:pStyle w:val="null3"/>
            </w:pPr>
            <w:r>
              <w:rPr>
                <w:rFonts w:ascii="仿宋_GB2312" w:hAnsi="仿宋_GB2312" w:cs="仿宋_GB2312" w:eastAsia="仿宋_GB2312"/>
              </w:rPr>
              <w:t>供应商提供服务承诺方案，包括但不限于：评估报告真实性承诺、备案完成时限承诺、评估质量达标承诺、密码数据保密承诺、不擅自更改评估流程承诺、违约赔偿承诺、定期评估履约承诺等措施。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密码数据安全及保密方案</w:t>
            </w:r>
          </w:p>
        </w:tc>
        <w:tc>
          <w:tcPr>
            <w:tcW w:type="dxa" w:w="2492"/>
          </w:tcPr>
          <w:p>
            <w:pPr>
              <w:pStyle w:val="null3"/>
            </w:pPr>
            <w:r>
              <w:rPr>
                <w:rFonts w:ascii="仿宋_GB2312" w:hAnsi="仿宋_GB2312" w:cs="仿宋_GB2312" w:eastAsia="仿宋_GB2312"/>
              </w:rPr>
              <w:t>供应商提供密码数据安全及保密方案，包括但不限于：评估数据加密、密码相关敏感信息保护、保密制度建立、人员保密培训、数据留存管理、数据销毁流程、防数据泄露等措施。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供应商提供自2023年1月1日至今承担过的同类项目业绩，每个业绩得2分，最高得10分。（提供合同复印件，同类项目以合同签订时间为准）。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详见附件：拒贿赂承诺书(1).docx</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详见附件：商务技术文件.pdf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详见附件：商用密码安全性评估项目合同.docx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