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版本号：GR26-ZB-00720260416002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体育用品等17种产品质量监督抽查项目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GR26-ZB-007</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伟江项目管理咨询有限公司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伟江项目管理咨询有限公司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体育用品等17种产品质量监督抽查项目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GR26-ZB-007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体育用品等17种产品质量监督抽查项目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本项目为陕西省市场监督管理局体育用品等17种产品质量监督抽查项目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陕西省市场监督管理局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029-86138358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伟江项目管理咨询有限公司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西安市新城区龙首北路东段大明宫圣远广场A座8001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吴斯琪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029-81111916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采购包1：509,000.00元</w:t>
            </w:r>
          </w:p>
          <w:p>
            <w:pPr>
              <w:pStyle w:val="null3"/>
            </w:pPr>
            <w:r>
              <w:rPr>
                <w:rFonts w:ascii="仿宋_GB2312" w:hAnsi="仿宋_GB2312" w:cs="仿宋_GB2312" w:eastAsia="仿宋_GB2312"/>
              </w:rPr>
              <w:t>采购包2：406,525.00元</w:t>
            </w:r>
          </w:p>
          <w:p>
            <w:pPr>
              <w:pStyle w:val="null3"/>
            </w:pPr>
            <w:r>
              <w:rPr>
                <w:rFonts w:ascii="仿宋_GB2312" w:hAnsi="仿宋_GB2312" w:cs="仿宋_GB2312" w:eastAsia="仿宋_GB2312"/>
              </w:rPr>
              <w:t>采购包3：511,500.00元</w:t>
            </w:r>
          </w:p>
          <w:p>
            <w:pPr>
              <w:pStyle w:val="null3"/>
            </w:pPr>
            <w:r>
              <w:rPr>
                <w:rFonts w:ascii="仿宋_GB2312" w:hAnsi="仿宋_GB2312" w:cs="仿宋_GB2312" w:eastAsia="仿宋_GB2312"/>
              </w:rPr>
              <w:t>采购包4：508,500.00元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采购包1保证金金额：7,500.00元</w:t>
            </w:r>
          </w:p>
          <w:p>
            <w:pPr>
              <w:pStyle w:val="null3"/>
            </w:pPr>
            <w:r>
              <w:rPr>
                <w:rFonts w:ascii="仿宋_GB2312" w:hAnsi="仿宋_GB2312" w:cs="仿宋_GB2312" w:eastAsia="仿宋_GB2312"/>
              </w:rPr>
              <w:t>采购包2保证金金额：6,000.00元</w:t>
            </w:r>
          </w:p>
          <w:p>
            <w:pPr>
              <w:pStyle w:val="null3"/>
            </w:pPr>
            <w:r>
              <w:rPr>
                <w:rFonts w:ascii="仿宋_GB2312" w:hAnsi="仿宋_GB2312" w:cs="仿宋_GB2312" w:eastAsia="仿宋_GB2312"/>
              </w:rPr>
              <w:t>采购包3保证金金额：7,800.00元</w:t>
            </w:r>
          </w:p>
          <w:p>
            <w:pPr>
              <w:pStyle w:val="null3"/>
            </w:pPr>
            <w:r>
              <w:rPr>
                <w:rFonts w:ascii="仿宋_GB2312" w:hAnsi="仿宋_GB2312" w:cs="仿宋_GB2312" w:eastAsia="仿宋_GB2312"/>
              </w:rPr>
              <w:t>采购包4保证金金额：7,000.00元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开户名称：伟江项目管理咨询有限公司</w:t>
            </w:r>
          </w:p>
          <w:p>
            <w:pPr>
              <w:pStyle w:val="null3"/>
            </w:pPr>
            <w:r>
              <w:rPr>
                <w:rFonts w:ascii="仿宋_GB2312" w:hAnsi="仿宋_GB2312" w:cs="仿宋_GB2312" w:eastAsia="仿宋_GB2312"/>
              </w:rPr>
              <w:t>开户银行：兴业银行股份有限公司西安未央路支行</w:t>
            </w:r>
          </w:p>
          <w:p>
            <w:pPr>
              <w:pStyle w:val="null3"/>
            </w:pPr>
            <w:r>
              <w:rPr>
                <w:rFonts w:ascii="仿宋_GB2312" w:hAnsi="仿宋_GB2312" w:cs="仿宋_GB2312" w:eastAsia="仿宋_GB2312"/>
              </w:rPr>
              <w:t>银行账号：456910100100163145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代理服务费收费标准：本项目采购代理服务费以采购项目的中标金额作为收费基数，按照国家计委（计价格【2002】1980号）《招标代理服务收费管理暂行办法》规定的服务类收费标准收取。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伟江项目管理咨询有限公司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伟江项目管理咨询有限公司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伟江项目管理咨询有限公司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按照合同约定执行，详见合同附件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按照合同约定执行，详见合同附件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按照合同约定执行，详见合同附件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联系人：马建国</w:t>
      </w:r>
    </w:p>
    <w:p>
      <w:pPr>
        <w:pStyle w:val="null3"/>
      </w:pPr>
      <w:r>
        <w:rPr>
          <w:rFonts w:ascii="仿宋_GB2312" w:hAnsi="仿宋_GB2312" w:cs="仿宋_GB2312" w:eastAsia="仿宋_GB2312"/>
        </w:rPr>
        <w:t>联系电话：029-81111916</w:t>
      </w:r>
    </w:p>
    <w:p>
      <w:pPr>
        <w:pStyle w:val="null3"/>
      </w:pPr>
      <w:r>
        <w:rPr>
          <w:rFonts w:ascii="仿宋_GB2312" w:hAnsi="仿宋_GB2312" w:cs="仿宋_GB2312" w:eastAsia="仿宋_GB2312"/>
        </w:rPr>
        <w:t>地址：西安市新城区龙首北路东段大明宫圣远广场A座8001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w:t>
      </w:r>
      <w:r>
        <w:rPr>
          <w:rFonts w:ascii="仿宋_GB2312" w:hAnsi="仿宋_GB2312" w:cs="仿宋_GB2312" w:eastAsia="仿宋_GB2312"/>
          <w:sz w:val="21"/>
        </w:rPr>
        <w:t>陕西省市场监督管理局</w:t>
      </w:r>
      <w:r>
        <w:rPr>
          <w:rFonts w:ascii="仿宋_GB2312" w:hAnsi="仿宋_GB2312" w:cs="仿宋_GB2312" w:eastAsia="仿宋_GB2312"/>
          <w:sz w:val="21"/>
        </w:rPr>
        <w:t>体育用品等</w:t>
      </w:r>
      <w:r>
        <w:rPr>
          <w:rFonts w:ascii="仿宋_GB2312" w:hAnsi="仿宋_GB2312" w:cs="仿宋_GB2312" w:eastAsia="仿宋_GB2312"/>
          <w:sz w:val="21"/>
        </w:rPr>
        <w:t>17种产品质量监督抽查项目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509,000.00</w:t>
      </w:r>
    </w:p>
    <w:p>
      <w:pPr>
        <w:pStyle w:val="null3"/>
      </w:pPr>
      <w:r>
        <w:rPr>
          <w:rFonts w:ascii="仿宋_GB2312" w:hAnsi="仿宋_GB2312" w:cs="仿宋_GB2312" w:eastAsia="仿宋_GB2312"/>
        </w:rPr>
        <w:t>采购包最高限价（元）: 509,000.00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体育用品等4种产品质量监督抽查</w:t>
            </w:r>
          </w:p>
        </w:tc>
        <w:tc>
          <w:tcPr>
            <w:tcW w:type="dxa" w:w="831"/>
          </w:tcPr>
          <w:p>
            <w:pPr>
              <w:pStyle w:val="null3"/>
              <w:jc w:val="right"/>
            </w:pPr>
            <w:r>
              <w:rPr>
                <w:rFonts w:ascii="仿宋_GB2312" w:hAnsi="仿宋_GB2312" w:cs="仿宋_GB2312" w:eastAsia="仿宋_GB2312"/>
              </w:rPr>
              <w:t>175.00</w:t>
            </w:r>
          </w:p>
        </w:tc>
        <w:tc>
          <w:tcPr>
            <w:tcW w:type="dxa" w:w="831"/>
          </w:tcPr>
          <w:p>
            <w:pPr>
              <w:pStyle w:val="null3"/>
              <w:jc w:val="right"/>
            </w:pPr>
            <w:r>
              <w:rPr>
                <w:rFonts w:ascii="仿宋_GB2312" w:hAnsi="仿宋_GB2312" w:cs="仿宋_GB2312" w:eastAsia="仿宋_GB2312"/>
              </w:rPr>
              <w:t>509,000.00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406,525.00</w:t>
      </w:r>
    </w:p>
    <w:p>
      <w:pPr>
        <w:pStyle w:val="null3"/>
      </w:pPr>
      <w:r>
        <w:rPr>
          <w:rFonts w:ascii="仿宋_GB2312" w:hAnsi="仿宋_GB2312" w:cs="仿宋_GB2312" w:eastAsia="仿宋_GB2312"/>
        </w:rPr>
        <w:t>采购包最高限价（元）: 406,525.00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婴幼儿用塑料奶瓶等4种产品质量监督抽查</w:t>
            </w:r>
          </w:p>
        </w:tc>
        <w:tc>
          <w:tcPr>
            <w:tcW w:type="dxa" w:w="831"/>
          </w:tcPr>
          <w:p>
            <w:pPr>
              <w:pStyle w:val="null3"/>
              <w:jc w:val="right"/>
            </w:pPr>
            <w:r>
              <w:rPr>
                <w:rFonts w:ascii="仿宋_GB2312" w:hAnsi="仿宋_GB2312" w:cs="仿宋_GB2312" w:eastAsia="仿宋_GB2312"/>
              </w:rPr>
              <w:t>140.00</w:t>
            </w:r>
          </w:p>
        </w:tc>
        <w:tc>
          <w:tcPr>
            <w:tcW w:type="dxa" w:w="831"/>
          </w:tcPr>
          <w:p>
            <w:pPr>
              <w:pStyle w:val="null3"/>
              <w:jc w:val="right"/>
            </w:pPr>
            <w:r>
              <w:rPr>
                <w:rFonts w:ascii="仿宋_GB2312" w:hAnsi="仿宋_GB2312" w:cs="仿宋_GB2312" w:eastAsia="仿宋_GB2312"/>
              </w:rPr>
              <w:t>406,525.00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511,500.00</w:t>
      </w:r>
    </w:p>
    <w:p>
      <w:pPr>
        <w:pStyle w:val="null3"/>
      </w:pPr>
      <w:r>
        <w:rPr>
          <w:rFonts w:ascii="仿宋_GB2312" w:hAnsi="仿宋_GB2312" w:cs="仿宋_GB2312" w:eastAsia="仿宋_GB2312"/>
        </w:rPr>
        <w:t>采购包最高限价（元）: 511,500.00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玩具等3种产品质量监督抽查</w:t>
            </w:r>
          </w:p>
        </w:tc>
        <w:tc>
          <w:tcPr>
            <w:tcW w:type="dxa" w:w="831"/>
          </w:tcPr>
          <w:p>
            <w:pPr>
              <w:pStyle w:val="null3"/>
              <w:jc w:val="right"/>
            </w:pPr>
            <w:r>
              <w:rPr>
                <w:rFonts w:ascii="仿宋_GB2312" w:hAnsi="仿宋_GB2312" w:cs="仿宋_GB2312" w:eastAsia="仿宋_GB2312"/>
              </w:rPr>
              <w:t>180.00</w:t>
            </w:r>
          </w:p>
        </w:tc>
        <w:tc>
          <w:tcPr>
            <w:tcW w:type="dxa" w:w="831"/>
          </w:tcPr>
          <w:p>
            <w:pPr>
              <w:pStyle w:val="null3"/>
              <w:jc w:val="right"/>
            </w:pPr>
            <w:r>
              <w:rPr>
                <w:rFonts w:ascii="仿宋_GB2312" w:hAnsi="仿宋_GB2312" w:cs="仿宋_GB2312" w:eastAsia="仿宋_GB2312"/>
              </w:rPr>
              <w:t>511,500.00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508,500.00</w:t>
      </w:r>
    </w:p>
    <w:p>
      <w:pPr>
        <w:pStyle w:val="null3"/>
      </w:pPr>
      <w:r>
        <w:rPr>
          <w:rFonts w:ascii="仿宋_GB2312" w:hAnsi="仿宋_GB2312" w:cs="仿宋_GB2312" w:eastAsia="仿宋_GB2312"/>
        </w:rPr>
        <w:t>采购包最高限价（元）: 508,500.00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新型墙体材料（砖和砌块）等6种产品质量监督抽查</w:t>
            </w:r>
          </w:p>
        </w:tc>
        <w:tc>
          <w:tcPr>
            <w:tcW w:type="dxa" w:w="831"/>
          </w:tcPr>
          <w:p>
            <w:pPr>
              <w:pStyle w:val="null3"/>
              <w:jc w:val="right"/>
            </w:pPr>
            <w:r>
              <w:rPr>
                <w:rFonts w:ascii="仿宋_GB2312" w:hAnsi="仿宋_GB2312" w:cs="仿宋_GB2312" w:eastAsia="仿宋_GB2312"/>
              </w:rPr>
              <w:t>150.00</w:t>
            </w:r>
          </w:p>
        </w:tc>
        <w:tc>
          <w:tcPr>
            <w:tcW w:type="dxa" w:w="831"/>
          </w:tcPr>
          <w:p>
            <w:pPr>
              <w:pStyle w:val="null3"/>
              <w:jc w:val="right"/>
            </w:pPr>
            <w:r>
              <w:rPr>
                <w:rFonts w:ascii="仿宋_GB2312" w:hAnsi="仿宋_GB2312" w:cs="仿宋_GB2312" w:eastAsia="仿宋_GB2312"/>
              </w:rPr>
              <w:t>508,500.00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标的名称：体育用品等4种产品质量监督抽查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1"/>
              <w:gridCol w:w="152"/>
              <w:gridCol w:w="320"/>
              <w:gridCol w:w="164"/>
              <w:gridCol w:w="234"/>
              <w:gridCol w:w="293"/>
              <w:gridCol w:w="281"/>
              <w:gridCol w:w="969"/>
              <w:gridCol w:w="3"/>
            </w:tblGrid>
            <w:tr>
              <w:tc>
                <w:tcPr>
                  <w:tcW w:type="dxa" w:w="12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5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1"/>
                      <w:b/>
                      <w:color w:val="000000"/>
                    </w:rPr>
                    <w:t>产品名称</w:t>
                  </w:r>
                </w:p>
              </w:tc>
              <w:tc>
                <w:tcPr>
                  <w:tcW w:type="dxa" w:w="32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购样</w:t>
                  </w:r>
                  <w:r>
                    <w:br/>
                  </w:r>
                  <w:r>
                    <w:rPr>
                      <w:rFonts w:ascii="仿宋_GB2312" w:hAnsi="仿宋_GB2312" w:cs="仿宋_GB2312" w:eastAsia="仿宋_GB2312"/>
                      <w:sz w:val="21"/>
                      <w:b/>
                      <w:color w:val="000000"/>
                    </w:rPr>
                    <w:t>单批次价格</w:t>
                  </w:r>
                  <w:r>
                    <w:br/>
                  </w:r>
                  <w:r>
                    <w:rPr>
                      <w:rFonts w:ascii="仿宋_GB2312" w:hAnsi="仿宋_GB2312" w:cs="仿宋_GB2312" w:eastAsia="仿宋_GB2312"/>
                      <w:sz w:val="21"/>
                      <w:b/>
                      <w:color w:val="000000"/>
                    </w:rPr>
                    <w:t>（万元</w:t>
                  </w:r>
                  <w:r>
                    <w:rPr>
                      <w:rFonts w:ascii="仿宋_GB2312" w:hAnsi="仿宋_GB2312" w:cs="仿宋_GB2312" w:eastAsia="仿宋_GB2312"/>
                      <w:sz w:val="21"/>
                      <w:b/>
                      <w:color w:val="000000"/>
                    </w:rPr>
                    <w:t>/批次）</w:t>
                  </w:r>
                </w:p>
              </w:tc>
              <w:tc>
                <w:tcPr>
                  <w:tcW w:type="dxa" w:w="39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定价招标，增加总批次数</w:t>
                  </w:r>
                </w:p>
              </w:tc>
              <w:tc>
                <w:tcPr>
                  <w:tcW w:type="dxa" w:w="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批次递增，购样费用相应累加</w:t>
                  </w:r>
                  <w:r>
                    <w:br/>
                  </w:r>
                  <w:r>
                    <w:rPr>
                      <w:rFonts w:ascii="仿宋_GB2312" w:hAnsi="仿宋_GB2312" w:cs="仿宋_GB2312" w:eastAsia="仿宋_GB2312"/>
                      <w:sz w:val="21"/>
                      <w:b/>
                      <w:color w:val="000000"/>
                    </w:rPr>
                    <w:t>（万元）</w:t>
                  </w:r>
                </w:p>
              </w:tc>
              <w:tc>
                <w:tcPr>
                  <w:tcW w:type="dxa" w:w="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总抽</w:t>
                  </w:r>
                </w:p>
                <w:p>
                  <w:pPr>
                    <w:pStyle w:val="null3"/>
                    <w:jc w:val="center"/>
                  </w:pPr>
                  <w:r>
                    <w:rPr>
                      <w:rFonts w:ascii="仿宋_GB2312" w:hAnsi="仿宋_GB2312" w:cs="仿宋_GB2312" w:eastAsia="仿宋_GB2312"/>
                      <w:sz w:val="21"/>
                      <w:b/>
                      <w:color w:val="000000"/>
                    </w:rPr>
                    <w:t>检费</w:t>
                  </w:r>
                  <w:r>
                    <w:br/>
                  </w:r>
                  <w:r>
                    <w:rPr>
                      <w:rFonts w:ascii="仿宋_GB2312" w:hAnsi="仿宋_GB2312" w:cs="仿宋_GB2312" w:eastAsia="仿宋_GB2312"/>
                      <w:sz w:val="21"/>
                      <w:b/>
                      <w:color w:val="000000"/>
                    </w:rPr>
                    <w:t>（万元）</w:t>
                  </w:r>
                </w:p>
              </w:tc>
              <w:tc>
                <w:tcPr>
                  <w:tcW w:type="dxa" w:w="9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执行标准及检验项目</w:t>
                  </w:r>
                </w:p>
              </w:tc>
              <w:tc>
                <w:tcPr>
                  <w:tcW w:type="dxa" w:w="3"/>
                  <w:tcBorders>
                    <w:top w:val="none" w:color="000000" w:sz="4"/>
                    <w:left w:val="none" w:color="000000" w:sz="4"/>
                    <w:bottom w:val="singl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1"/>
                  <w:vMerge/>
                  <w:tcBorders>
                    <w:top w:val="single" w:color="000000" w:sz="4"/>
                    <w:left w:val="single" w:color="000000" w:sz="4"/>
                    <w:bottom w:val="single" w:color="000000" w:sz="4"/>
                    <w:right w:val="single" w:color="000000" w:sz="4"/>
                  </w:tcBorders>
                </w:tcPr>
                <w:p/>
              </w:tc>
              <w:tc>
                <w:tcPr>
                  <w:tcW w:type="dxa" w:w="152"/>
                  <w:vMerge/>
                  <w:tcBorders>
                    <w:top w:val="single" w:color="000000" w:sz="4"/>
                    <w:left w:val="none" w:color="000000" w:sz="4"/>
                    <w:bottom w:val="single" w:color="000000" w:sz="4"/>
                    <w:right w:val="single" w:color="000000" w:sz="4"/>
                  </w:tcBorders>
                </w:tcPr>
                <w:p/>
              </w:tc>
              <w:tc>
                <w:tcPr>
                  <w:tcW w:type="dxa" w:w="320"/>
                  <w:vMerge/>
                  <w:tcBorders>
                    <w:top w:val="single" w:color="000000" w:sz="4"/>
                    <w:left w:val="none" w:color="000000" w:sz="4"/>
                    <w:bottom w:val="single" w:color="000000" w:sz="4"/>
                    <w:right w:val="single" w:color="000000" w:sz="4"/>
                  </w:tcBorders>
                </w:tcPr>
                <w:p/>
              </w:tc>
              <w:tc>
                <w:tcPr>
                  <w:tcW w:type="dxa" w:w="1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总批次数</w:t>
                  </w:r>
                </w:p>
              </w:tc>
              <w:tc>
                <w:tcPr>
                  <w:tcW w:type="dxa" w:w="2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其中网抽批次数</w:t>
                  </w:r>
                </w:p>
              </w:tc>
              <w:tc>
                <w:tcPr>
                  <w:tcW w:type="dxa" w:w="29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28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972"/>
                  <w:gridSpan w:val="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121"/>
                  <w:vMerge/>
                  <w:tcBorders>
                    <w:top w:val="single" w:color="000000" w:sz="4"/>
                    <w:left w:val="single" w:color="000000" w:sz="4"/>
                    <w:bottom w:val="single" w:color="000000" w:sz="4"/>
                    <w:right w:val="single" w:color="000000" w:sz="4"/>
                  </w:tcBorders>
                </w:tcPr>
                <w:p/>
              </w:tc>
              <w:tc>
                <w:tcPr>
                  <w:tcW w:type="dxa" w:w="152"/>
                  <w:vMerge/>
                  <w:tcBorders>
                    <w:top w:val="single" w:color="000000" w:sz="4"/>
                    <w:left w:val="none" w:color="000000" w:sz="4"/>
                    <w:bottom w:val="single" w:color="000000" w:sz="4"/>
                    <w:right w:val="single" w:color="000000" w:sz="4"/>
                  </w:tcBorders>
                </w:tcPr>
                <w:p/>
              </w:tc>
              <w:tc>
                <w:tcPr>
                  <w:tcW w:type="dxa" w:w="320"/>
                  <w:vMerge/>
                  <w:tcBorders>
                    <w:top w:val="singl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234"/>
                  <w:vMerge/>
                  <w:tcBorders>
                    <w:top w:val="none" w:color="000000" w:sz="4"/>
                    <w:left w:val="none" w:color="000000" w:sz="4"/>
                    <w:bottom w:val="single" w:color="000000" w:sz="4"/>
                    <w:right w:val="single" w:color="000000" w:sz="4"/>
                  </w:tcBorders>
                </w:tcPr>
                <w:p/>
              </w:tc>
              <w:tc>
                <w:tcPr>
                  <w:tcW w:type="dxa" w:w="293"/>
                  <w:vMerge/>
                  <w:tcBorders>
                    <w:top w:val="none" w:color="000000" w:sz="4"/>
                    <w:left w:val="none" w:color="000000" w:sz="4"/>
                    <w:bottom w:val="none" w:color="000000" w:sz="4"/>
                    <w:right w:val="single" w:color="000000" w:sz="4"/>
                  </w:tcBorders>
                </w:tcPr>
                <w:p/>
              </w:tc>
              <w:tc>
                <w:tcPr>
                  <w:tcW w:type="dxa" w:w="281"/>
                  <w:vMerge/>
                  <w:tcBorders>
                    <w:top w:val="none" w:color="000000" w:sz="4"/>
                    <w:left w:val="none" w:color="000000" w:sz="4"/>
                    <w:bottom w:val="none" w:color="000000" w:sz="4"/>
                    <w:right w:val="single" w:color="000000" w:sz="4"/>
                  </w:tcBorders>
                </w:tcPr>
                <w:p/>
              </w:tc>
              <w:tc>
                <w:tcPr>
                  <w:tcW w:type="dxa" w:w="972"/>
                  <w:gridSpan w:val="2"/>
                  <w:vMerge/>
                  <w:tcBorders>
                    <w:top w:val="single" w:color="000000" w:sz="4"/>
                    <w:left w:val="none" w:color="000000" w:sz="4"/>
                    <w:bottom w:val="none" w:color="000000" w:sz="4"/>
                    <w:right w:val="single" w:color="000000" w:sz="4"/>
                  </w:tcBorders>
                </w:tc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体育用品</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0.02</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50.9</w:t>
                  </w:r>
                </w:p>
              </w:tc>
              <w:tc>
                <w:tcPr>
                  <w:tcW w:type="dxa" w:w="9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羽毛球（</w:t>
                  </w:r>
                  <w:r>
                    <w:rPr>
                      <w:rFonts w:ascii="仿宋_GB2312" w:hAnsi="仿宋_GB2312" w:cs="仿宋_GB2312" w:eastAsia="仿宋_GB2312"/>
                      <w:sz w:val="21"/>
                      <w:color w:val="000000"/>
                    </w:rPr>
                    <w:t>GB/T 11881-2006）：球口外径，球头直径，球头高度，毛片插长，线距离，外观，毛片与球头粘合牢度，球头硬度，毛片数量，球口不变形受压次数</w:t>
                  </w:r>
                  <w:r>
                    <w:br/>
                  </w:r>
                  <w:r>
                    <w:rPr>
                      <w:rFonts w:ascii="仿宋_GB2312" w:hAnsi="仿宋_GB2312" w:cs="仿宋_GB2312" w:eastAsia="仿宋_GB2312"/>
                      <w:sz w:val="21"/>
                      <w:color w:val="000000"/>
                    </w:rPr>
                    <w:t>篮球（</w:t>
                  </w:r>
                  <w:r>
                    <w:rPr>
                      <w:rFonts w:ascii="仿宋_GB2312" w:hAnsi="仿宋_GB2312" w:cs="仿宋_GB2312" w:eastAsia="仿宋_GB2312"/>
                      <w:sz w:val="21"/>
                      <w:color w:val="000000"/>
                    </w:rPr>
                    <w:t>GB/T 19851.4-2005）：外观质量，质量，圆周长，圆周差</w:t>
                  </w:r>
                  <w:r>
                    <w:br/>
                  </w:r>
                  <w:r>
                    <w:rPr>
                      <w:rFonts w:ascii="仿宋_GB2312" w:hAnsi="仿宋_GB2312" w:cs="仿宋_GB2312" w:eastAsia="仿宋_GB2312"/>
                      <w:sz w:val="21"/>
                      <w:color w:val="000000"/>
                    </w:rPr>
                    <w:t>排球（</w:t>
                  </w:r>
                  <w:r>
                    <w:rPr>
                      <w:rFonts w:ascii="仿宋_GB2312" w:hAnsi="仿宋_GB2312" w:cs="仿宋_GB2312" w:eastAsia="仿宋_GB2312"/>
                      <w:sz w:val="21"/>
                      <w:color w:val="000000"/>
                    </w:rPr>
                    <w:t>GB/T 19851.5-2005）：外观质量，质量，圆周长，圆周差</w:t>
                  </w:r>
                  <w:r>
                    <w:br/>
                  </w:r>
                  <w:r>
                    <w:rPr>
                      <w:rFonts w:ascii="仿宋_GB2312" w:hAnsi="仿宋_GB2312" w:cs="仿宋_GB2312" w:eastAsia="仿宋_GB2312"/>
                      <w:sz w:val="21"/>
                      <w:color w:val="000000"/>
                    </w:rPr>
                    <w:t>乒乓球（</w:t>
                  </w:r>
                  <w:r>
                    <w:rPr>
                      <w:rFonts w:ascii="仿宋_GB2312" w:hAnsi="仿宋_GB2312" w:cs="仿宋_GB2312" w:eastAsia="仿宋_GB2312"/>
                      <w:sz w:val="21"/>
                      <w:color w:val="000000"/>
                    </w:rPr>
                    <w:t>GB/T 19851.8-2005）：直径，重量，外观，弹跳，圆度</w:t>
                  </w:r>
                  <w:r>
                    <w:br/>
                  </w:r>
                  <w:r>
                    <w:rPr>
                      <w:rFonts w:ascii="仿宋_GB2312" w:hAnsi="仿宋_GB2312" w:cs="仿宋_GB2312" w:eastAsia="仿宋_GB2312"/>
                      <w:sz w:val="21"/>
                      <w:color w:val="000000"/>
                    </w:rPr>
                    <w:t>羽毛球拍（</w:t>
                  </w:r>
                  <w:r>
                    <w:rPr>
                      <w:rFonts w:ascii="仿宋_GB2312" w:hAnsi="仿宋_GB2312" w:cs="仿宋_GB2312" w:eastAsia="仿宋_GB2312"/>
                      <w:sz w:val="21"/>
                      <w:color w:val="000000"/>
                    </w:rPr>
                    <w:t>GB/T 19851.9-2005）：球拍总长度，球拍宽度，球拍拍弦面长度，球拍重量，拍弦直径，截面形状，握柄护皮，贴标图案，拍框表面，线孔及护套</w:t>
                  </w:r>
                  <w:r>
                    <w:br/>
                  </w:r>
                  <w:r>
                    <w:rPr>
                      <w:rFonts w:ascii="仿宋_GB2312" w:hAnsi="仿宋_GB2312" w:cs="仿宋_GB2312" w:eastAsia="仿宋_GB2312"/>
                      <w:sz w:val="21"/>
                      <w:color w:val="000000"/>
                    </w:rPr>
                    <w:t>网球拍（</w:t>
                  </w:r>
                  <w:r>
                    <w:rPr>
                      <w:rFonts w:ascii="仿宋_GB2312" w:hAnsi="仿宋_GB2312" w:cs="仿宋_GB2312" w:eastAsia="仿宋_GB2312"/>
                      <w:sz w:val="21"/>
                      <w:color w:val="000000"/>
                    </w:rPr>
                    <w:t>GB/T 19851.10-2005）：球拍长度，质量，网线-线径，网线-纵横线数，网线-线强度，顶压，侧压，手柄-长，手柄-周长，外观，线孔及护套，粘合要求，握柄护面，贴标图案</w:t>
                  </w:r>
                  <w:r>
                    <w:br/>
                  </w:r>
                  <w:r>
                    <w:rPr>
                      <w:rFonts w:ascii="仿宋_GB2312" w:hAnsi="仿宋_GB2312" w:cs="仿宋_GB2312" w:eastAsia="仿宋_GB2312"/>
                      <w:sz w:val="21"/>
                      <w:color w:val="000000"/>
                    </w:rPr>
                    <w:t>乒乓球（</w:t>
                  </w:r>
                  <w:r>
                    <w:rPr>
                      <w:rFonts w:ascii="仿宋_GB2312" w:hAnsi="仿宋_GB2312" w:cs="仿宋_GB2312" w:eastAsia="仿宋_GB2312"/>
                      <w:sz w:val="21"/>
                      <w:color w:val="000000"/>
                    </w:rPr>
                    <w:t>GB/T 20045-2005）：球重，外观，弹跳，圆度，偏心，硬度</w:t>
                  </w:r>
                  <w:r>
                    <w:br/>
                  </w:r>
                  <w:r>
                    <w:rPr>
                      <w:rFonts w:ascii="仿宋_GB2312" w:hAnsi="仿宋_GB2312" w:cs="仿宋_GB2312" w:eastAsia="仿宋_GB2312"/>
                      <w:sz w:val="21"/>
                      <w:color w:val="000000"/>
                    </w:rPr>
                    <w:t>篮球（</w:t>
                  </w:r>
                  <w:r>
                    <w:rPr>
                      <w:rFonts w:ascii="仿宋_GB2312" w:hAnsi="仿宋_GB2312" w:cs="仿宋_GB2312" w:eastAsia="仿宋_GB2312"/>
                      <w:sz w:val="21"/>
                      <w:color w:val="000000"/>
                    </w:rPr>
                    <w:t>GB/T 22868-2008）：外观质量，质量，圆周长，圆周差，圆度，气密性</w:t>
                  </w:r>
                  <w:r>
                    <w:br/>
                  </w:r>
                  <w:r>
                    <w:rPr>
                      <w:rFonts w:ascii="仿宋_GB2312" w:hAnsi="仿宋_GB2312" w:cs="仿宋_GB2312" w:eastAsia="仿宋_GB2312"/>
                      <w:sz w:val="21"/>
                      <w:color w:val="000000"/>
                    </w:rPr>
                    <w:t>排球（</w:t>
                  </w:r>
                  <w:r>
                    <w:rPr>
                      <w:rFonts w:ascii="仿宋_GB2312" w:hAnsi="仿宋_GB2312" w:cs="仿宋_GB2312" w:eastAsia="仿宋_GB2312"/>
                      <w:sz w:val="21"/>
                      <w:color w:val="000000"/>
                    </w:rPr>
                    <w:t>GB/T 22882-2008）：外观质量，质量，圆周长，圆周差，圆度，气密性</w:t>
                  </w:r>
                  <w:r>
                    <w:br/>
                  </w:r>
                  <w:r>
                    <w:rPr>
                      <w:rFonts w:ascii="仿宋_GB2312" w:hAnsi="仿宋_GB2312" w:cs="仿宋_GB2312" w:eastAsia="仿宋_GB2312"/>
                      <w:sz w:val="21"/>
                      <w:color w:val="000000"/>
                    </w:rPr>
                    <w:t>足球（</w:t>
                  </w:r>
                  <w:r>
                    <w:rPr>
                      <w:rFonts w:ascii="仿宋_GB2312" w:hAnsi="仿宋_GB2312" w:cs="仿宋_GB2312" w:eastAsia="仿宋_GB2312"/>
                      <w:sz w:val="21"/>
                      <w:color w:val="000000"/>
                    </w:rPr>
                    <w:t>GB/T 22892-2008）：外观质量，质量，圆周长，圆周差，圆度，气密性</w:t>
                  </w:r>
                  <w:r>
                    <w:br/>
                  </w:r>
                  <w:r>
                    <w:rPr>
                      <w:rFonts w:ascii="仿宋_GB2312" w:hAnsi="仿宋_GB2312" w:cs="仿宋_GB2312" w:eastAsia="仿宋_GB2312"/>
                      <w:sz w:val="21"/>
                      <w:color w:val="000000"/>
                    </w:rPr>
                    <w:t>乒乓球拍（</w:t>
                  </w:r>
                  <w:r>
                    <w:rPr>
                      <w:rFonts w:ascii="仿宋_GB2312" w:hAnsi="仿宋_GB2312" w:cs="仿宋_GB2312" w:eastAsia="仿宋_GB2312"/>
                      <w:sz w:val="21"/>
                      <w:color w:val="000000"/>
                    </w:rPr>
                    <w:t>GB/T 23115-2008）：开胶，缺粒，颜色，胶粒片，海绵，粘合剂总厚度，球拍外观，球拍的底板构成</w:t>
                  </w:r>
                  <w:r>
                    <w:br/>
                  </w:r>
                  <w:r>
                    <w:rPr>
                      <w:rFonts w:ascii="仿宋_GB2312" w:hAnsi="仿宋_GB2312" w:cs="仿宋_GB2312" w:eastAsia="仿宋_GB2312"/>
                      <w:sz w:val="21"/>
                      <w:color w:val="000000"/>
                    </w:rPr>
                    <w:t>羽毛球拍（</w:t>
                  </w:r>
                  <w:r>
                    <w:rPr>
                      <w:rFonts w:ascii="仿宋_GB2312" w:hAnsi="仿宋_GB2312" w:cs="仿宋_GB2312" w:eastAsia="仿宋_GB2312"/>
                      <w:sz w:val="21"/>
                      <w:color w:val="000000"/>
                    </w:rPr>
                    <w:t>GB/T 32608-2016）：球拍总长度，球拍宽度，球拍拍弦面长度，球拍拍弦面宽度，球拍对称点偏差，歪度，翘度，拍弦直径，拍弦抗拉力，拍弦延伸率，框顶抗压强度，框顶抗压残余变形量，拍头侧面抗压强度，拍头侧面抗压残余变形量，连接喉平面抗压强度，拍杆抗压强度，落地试验，拍弦面，拍弦，拍框，拍柄和拍杆，护线套</w:t>
                  </w:r>
                  <w:r>
                    <w:br/>
                  </w:r>
                  <w:r>
                    <w:rPr>
                      <w:rFonts w:ascii="仿宋_GB2312" w:hAnsi="仿宋_GB2312" w:cs="仿宋_GB2312" w:eastAsia="仿宋_GB2312"/>
                      <w:sz w:val="21"/>
                      <w:color w:val="000000"/>
                    </w:rPr>
                    <w:t>网球拍（</w:t>
                  </w:r>
                  <w:r>
                    <w:rPr>
                      <w:rFonts w:ascii="仿宋_GB2312" w:hAnsi="仿宋_GB2312" w:cs="仿宋_GB2312" w:eastAsia="仿宋_GB2312"/>
                      <w:sz w:val="21"/>
                      <w:color w:val="000000"/>
                    </w:rPr>
                    <w:t>GB/T 32609-2016）：球拍总长度，球拍宽度，球拍拍弦面长度，球拍拍弦面宽度，平衡点长度，拍框对称点偏差，歪度，翘度，拍弦直径，拍弦抗拉力，拍弦延伸率，框顶抗压强度，框顶抗压残余变形量，拍头侧面抗压强度，拍头侧面抗压残余变形量，拍体抗压强度，拍体抗压残余变形量，拍柄抗压强度，落地试验，拍弦面，拍弦，拍框和拍柄</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奶嘴</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0.04</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81"/>
                  <w:vMerge/>
                  <w:tcBorders>
                    <w:top w:val="none" w:color="000000" w:sz="4"/>
                    <w:left w:val="none" w:color="000000" w:sz="4"/>
                    <w:bottom w:val="single" w:color="000000" w:sz="4"/>
                    <w:right w:val="single" w:color="000000" w:sz="4"/>
                  </w:tcBorders>
                </w:tcPr>
                <w:p/>
              </w:tc>
              <w:tc>
                <w:tcPr>
                  <w:tcW w:type="dxa" w:w="9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GB 28482-2012 婴幼儿安抚奶嘴安全要求</w:t>
                  </w:r>
                  <w:r>
                    <w:br/>
                  </w:r>
                  <w:r>
                    <w:rPr>
                      <w:rFonts w:ascii="仿宋_GB2312" w:hAnsi="仿宋_GB2312" w:cs="仿宋_GB2312" w:eastAsia="仿宋_GB2312"/>
                      <w:sz w:val="21"/>
                      <w:color w:val="000000"/>
                    </w:rPr>
                    <w:t>现行有效的企业标准、团体标准、地方标准及产品明示质量要求：挥发性化合物含量、特定元素的迁移、</w:t>
                  </w:r>
                  <w:r>
                    <w:rPr>
                      <w:rFonts w:ascii="仿宋_GB2312" w:hAnsi="仿宋_GB2312" w:cs="仿宋_GB2312" w:eastAsia="仿宋_GB2312"/>
                      <w:sz w:val="21"/>
                      <w:color w:val="000000"/>
                    </w:rPr>
                    <w:t>2-巯基苯并噻唑（MBT）释放量和抗氧化剂释放量、邻苯二甲酸酯、N-亚硝胺释放量、N-亚硝基物质释放量、材料、结构、抗冲击性能、抗刺穿性能、抗扯性能、把手、塞子和/或盖的保持力、 咬扯耐久性能、旋转耐久性、完整性、消费品包装、产品信息</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帐篷</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0.04</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81"/>
                  <w:vMerge/>
                  <w:tcBorders>
                    <w:top w:val="none" w:color="000000" w:sz="4"/>
                    <w:left w:val="none" w:color="000000" w:sz="4"/>
                    <w:bottom w:val="single" w:color="000000" w:sz="4"/>
                    <w:right w:val="single" w:color="000000" w:sz="4"/>
                  </w:tcBorders>
                </w:tcPr>
                <w:p/>
              </w:tc>
              <w:tc>
                <w:tcPr>
                  <w:tcW w:type="dxa" w:w="9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GB/Z 27735-2022《野营帐篷》</w:t>
                  </w:r>
                  <w:r>
                    <w:br/>
                  </w:r>
                  <w:r>
                    <w:rPr>
                      <w:rFonts w:ascii="仿宋_GB2312" w:hAnsi="仿宋_GB2312" w:cs="仿宋_GB2312" w:eastAsia="仿宋_GB2312"/>
                      <w:sz w:val="21"/>
                      <w:color w:val="000000"/>
                    </w:rPr>
                    <w:t>现行有效的企业标准、团体标准、地方标准及产品明示质量要求：撕裂强度</w:t>
                  </w:r>
                  <w:r>
                    <w:rPr>
                      <w:rFonts w:ascii="仿宋_GB2312" w:hAnsi="仿宋_GB2312" w:cs="仿宋_GB2312" w:eastAsia="仿宋_GB2312"/>
                      <w:sz w:val="21"/>
                      <w:color w:val="000000"/>
                    </w:rPr>
                    <w:t>/抗撕裂力、拉伸强度/抗拉强度/断裂强力、抗渗水性/防水性能、色牢度/耐摩擦色牢度、刺穿阻力、尺寸稳定性、地面紧固件、防护措施、通风、帐篷出口、防雨、防蚊虫、帐篷支架、边和角、管状部件、孔和槽、剪切和挤压点、拉链、拉链的平拉强力、连续往复运动条件下拉链的性能、拉绳系统的拉伸力</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儿童水壶</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0.030</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c>
                <w:tcPr>
                  <w:tcW w:type="dxa" w:w="281"/>
                  <w:vMerge/>
                  <w:tcBorders>
                    <w:top w:val="none" w:color="000000" w:sz="4"/>
                    <w:left w:val="none" w:color="000000" w:sz="4"/>
                    <w:bottom w:val="single" w:color="000000" w:sz="4"/>
                    <w:right w:val="single" w:color="000000" w:sz="4"/>
                  </w:tcBorders>
                </w:tcPr>
                <w:p/>
              </w:tc>
              <w:tc>
                <w:tcPr>
                  <w:tcW w:type="dxa" w:w="9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GB/T 29606-2013：</w:t>
                  </w:r>
                  <w:r>
                    <w:rPr>
                      <w:rFonts w:ascii="仿宋_GB2312" w:hAnsi="仿宋_GB2312" w:cs="仿宋_GB2312" w:eastAsia="仿宋_GB2312"/>
                      <w:sz w:val="21"/>
                      <w:color w:val="000000"/>
                    </w:rPr>
                    <w:t>容量、保温效能、耐冲击性、密封用盖（塞）及热水异味、密封性、表面印刷文字和图案的附着力。</w:t>
                  </w:r>
                  <w:r>
                    <w:br/>
                  </w:r>
                  <w:r>
                    <w:rPr>
                      <w:rFonts w:ascii="仿宋_GB2312" w:hAnsi="仿宋_GB2312" w:cs="仿宋_GB2312" w:eastAsia="仿宋_GB2312"/>
                      <w:sz w:val="21"/>
                      <w:color w:val="000000"/>
                    </w:rPr>
                    <w:t>GB/T 40355-2021：容量偏差、保温效能、耐冲击性、密封性、密封用部件及热水异味、表面印刷文字和图案的附着力。</w:t>
                  </w:r>
                  <w:r>
                    <w:br/>
                  </w:r>
                  <w:r>
                    <w:rPr>
                      <w:rFonts w:ascii="仿宋_GB2312" w:hAnsi="仿宋_GB2312" w:cs="仿宋_GB2312" w:eastAsia="仿宋_GB2312"/>
                      <w:sz w:val="21"/>
                      <w:color w:val="000000"/>
                    </w:rPr>
                    <w:t>QB/T 5613-2021：容量偏差、密封性、保温效能、耐冲击性、表面印刷文字和图案的附着力。</w:t>
                  </w:r>
                  <w:r>
                    <w:br/>
                  </w:r>
                  <w:r>
                    <w:rPr>
                      <w:rFonts w:ascii="仿宋_GB2312" w:hAnsi="仿宋_GB2312" w:cs="仿宋_GB2312" w:eastAsia="仿宋_GB2312"/>
                      <w:sz w:val="21"/>
                      <w:color w:val="000000"/>
                    </w:rPr>
                    <w:t>QB/T 4049-2021：容量偏差、密封性能、耐冲击性、表面印刷物附着性、总迁移量、高锰酸钾消耗量 、重金属（以Pb计） 。</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标的名称：婴幼儿用塑料奶瓶等4种产品质量监督抽查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1"/>
              <w:gridCol w:w="113"/>
              <w:gridCol w:w="121"/>
              <w:gridCol w:w="180"/>
              <w:gridCol w:w="121"/>
              <w:gridCol w:w="129"/>
              <w:gridCol w:w="180"/>
              <w:gridCol w:w="274"/>
              <w:gridCol w:w="1299"/>
            </w:tblGrid>
            <w:tr>
              <w:tc>
                <w:tcPr>
                  <w:tcW w:type="dxa" w:w="12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11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2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0"/>
                      <w:b/>
                      <w:color w:val="000000"/>
                    </w:rPr>
                    <w:t>产品名称</w:t>
                  </w:r>
                </w:p>
              </w:tc>
              <w:tc>
                <w:tcPr>
                  <w:tcW w:type="dxa" w:w="18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购样</w:t>
                  </w:r>
                  <w:r>
                    <w:br/>
                  </w:r>
                  <w:r>
                    <w:rPr>
                      <w:rFonts w:ascii="仿宋_GB2312" w:hAnsi="仿宋_GB2312" w:cs="仿宋_GB2312" w:eastAsia="仿宋_GB2312"/>
                      <w:sz w:val="20"/>
                      <w:b/>
                      <w:color w:val="000000"/>
                    </w:rPr>
                    <w:t>单批次价格</w:t>
                  </w:r>
                  <w:r>
                    <w:br/>
                  </w:r>
                  <w:r>
                    <w:rPr>
                      <w:rFonts w:ascii="仿宋_GB2312" w:hAnsi="仿宋_GB2312" w:cs="仿宋_GB2312" w:eastAsia="仿宋_GB2312"/>
                      <w:sz w:val="20"/>
                      <w:b/>
                      <w:color w:val="000000"/>
                    </w:rPr>
                    <w:t>（万元</w:t>
                  </w:r>
                  <w:r>
                    <w:rPr>
                      <w:rFonts w:ascii="仿宋_GB2312" w:hAnsi="仿宋_GB2312" w:cs="仿宋_GB2312" w:eastAsia="仿宋_GB2312"/>
                      <w:sz w:val="20"/>
                      <w:b/>
                      <w:color w:val="000000"/>
                    </w:rPr>
                    <w:t>/批次）</w:t>
                  </w:r>
                </w:p>
              </w:tc>
              <w:tc>
                <w:tcPr>
                  <w:tcW w:type="dxa" w:w="25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定价招标，增加总批次数</w:t>
                  </w:r>
                </w:p>
              </w:tc>
              <w:tc>
                <w:tcPr>
                  <w:tcW w:type="dxa" w:w="18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批次递增，购样费用</w:t>
                  </w:r>
                  <w:r>
                    <w:rPr>
                      <w:rFonts w:ascii="仿宋_GB2312" w:hAnsi="仿宋_GB2312" w:cs="仿宋_GB2312" w:eastAsia="仿宋_GB2312"/>
                      <w:sz w:val="21"/>
                      <w:b/>
                      <w:color w:val="000000"/>
                    </w:rPr>
                    <w:t>相应</w:t>
                  </w:r>
                  <w:r>
                    <w:rPr>
                      <w:rFonts w:ascii="仿宋_GB2312" w:hAnsi="仿宋_GB2312" w:cs="仿宋_GB2312" w:eastAsia="仿宋_GB2312"/>
                      <w:sz w:val="20"/>
                      <w:b/>
                      <w:color w:val="000000"/>
                    </w:rPr>
                    <w:t>累加</w:t>
                  </w:r>
                  <w:r>
                    <w:br/>
                  </w:r>
                  <w:r>
                    <w:rPr>
                      <w:rFonts w:ascii="仿宋_GB2312" w:hAnsi="仿宋_GB2312" w:cs="仿宋_GB2312" w:eastAsia="仿宋_GB2312"/>
                      <w:sz w:val="20"/>
                      <w:b/>
                      <w:color w:val="000000"/>
                    </w:rPr>
                    <w:t>（万元）</w:t>
                  </w:r>
                </w:p>
              </w:tc>
              <w:tc>
                <w:tcPr>
                  <w:tcW w:type="dxa" w:w="27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总抽检费</w:t>
                  </w:r>
                  <w:r>
                    <w:br/>
                  </w:r>
                  <w:r>
                    <w:rPr>
                      <w:rFonts w:ascii="仿宋_GB2312" w:hAnsi="仿宋_GB2312" w:cs="仿宋_GB2312" w:eastAsia="仿宋_GB2312"/>
                      <w:sz w:val="20"/>
                      <w:b/>
                      <w:color w:val="000000"/>
                    </w:rPr>
                    <w:t>（万元）</w:t>
                  </w:r>
                </w:p>
              </w:tc>
              <w:tc>
                <w:tcPr>
                  <w:tcW w:type="dxa" w:w="129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执行标准及检验项目</w:t>
                  </w:r>
                </w:p>
              </w:tc>
            </w:tr>
            <w:tr>
              <w:tc>
                <w:tcPr>
                  <w:tcW w:type="dxa" w:w="121"/>
                  <w:vMerge/>
                  <w:tcBorders>
                    <w:top w:val="single" w:color="000000" w:sz="4"/>
                    <w:left w:val="single" w:color="000000" w:sz="4"/>
                    <w:bottom w:val="single" w:color="000000" w:sz="4"/>
                    <w:right w:val="single" w:color="000000" w:sz="4"/>
                  </w:tcBorders>
                </w:tcPr>
                <w:p/>
              </w:tc>
              <w:tc>
                <w:tcPr>
                  <w:tcW w:type="dxa" w:w="113"/>
                  <w:vMerge/>
                  <w:tcBorders>
                    <w:top w:val="single" w:color="000000" w:sz="4"/>
                    <w:left w:val="none" w:color="000000" w:sz="4"/>
                    <w:bottom w:val="single" w:color="000000" w:sz="4"/>
                    <w:right w:val="single" w:color="000000" w:sz="4"/>
                  </w:tcBorders>
                </w:tcPr>
                <w:p/>
              </w:tc>
              <w:tc>
                <w:tcPr>
                  <w:tcW w:type="dxa" w:w="121"/>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c>
                <w:tcPr>
                  <w:tcW w:type="dxa" w:w="1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总批次数</w:t>
                  </w:r>
                </w:p>
              </w:tc>
              <w:tc>
                <w:tcPr>
                  <w:tcW w:type="dxa" w:w="1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其中网抽批次数</w:t>
                  </w:r>
                </w:p>
              </w:tc>
              <w:tc>
                <w:tcPr>
                  <w:tcW w:type="dxa" w:w="180"/>
                  <w:vMerge/>
                  <w:tcBorders>
                    <w:top w:val="single" w:color="000000" w:sz="4"/>
                    <w:left w:val="none" w:color="000000" w:sz="4"/>
                    <w:bottom w:val="single" w:color="000000" w:sz="4"/>
                    <w:right w:val="single" w:color="000000" w:sz="4"/>
                  </w:tcBorders>
                </w:tcPr>
                <w:p/>
              </w:tc>
              <w:tc>
                <w:tcPr>
                  <w:tcW w:type="dxa" w:w="274"/>
                  <w:vMerge/>
                  <w:tcBorders>
                    <w:top w:val="single" w:color="000000" w:sz="4"/>
                    <w:left w:val="none" w:color="000000" w:sz="4"/>
                    <w:bottom w:val="single" w:color="000000" w:sz="4"/>
                    <w:right w:val="single" w:color="000000" w:sz="4"/>
                  </w:tcBorders>
                </w:tcPr>
                <w:p/>
              </w:tc>
              <w:tc>
                <w:tcPr>
                  <w:tcW w:type="dxa" w:w="1299"/>
                  <w:vMerge/>
                  <w:tcBorders>
                    <w:top w:val="single" w:color="000000" w:sz="4"/>
                    <w:left w:val="none" w:color="000000" w:sz="4"/>
                    <w:bottom w:val="single" w:color="000000" w:sz="4"/>
                    <w:right w:val="single" w:color="000000" w:sz="4"/>
                  </w:tcBorders>
                </w:tcPr>
                <w:p/>
              </w:tc>
            </w:tr>
            <w:tr>
              <w:tc>
                <w:tcPr>
                  <w:tcW w:type="dxa" w:w="121"/>
                  <w:vMerge/>
                  <w:tcBorders>
                    <w:top w:val="single" w:color="000000" w:sz="4"/>
                    <w:left w:val="single" w:color="000000" w:sz="4"/>
                    <w:bottom w:val="single" w:color="000000" w:sz="4"/>
                    <w:right w:val="single" w:color="000000" w:sz="4"/>
                  </w:tcBorders>
                </w:tcPr>
                <w:p/>
              </w:tc>
              <w:tc>
                <w:tcPr>
                  <w:tcW w:type="dxa" w:w="113"/>
                  <w:vMerge/>
                  <w:tcBorders>
                    <w:top w:val="single" w:color="000000" w:sz="4"/>
                    <w:left w:val="none" w:color="000000" w:sz="4"/>
                    <w:bottom w:val="single" w:color="000000" w:sz="4"/>
                    <w:right w:val="single" w:color="000000" w:sz="4"/>
                  </w:tcBorders>
                </w:tcPr>
                <w:p/>
              </w:tc>
              <w:tc>
                <w:tcPr>
                  <w:tcW w:type="dxa" w:w="121"/>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29"/>
                  <w:vMerge/>
                  <w:tcBorders>
                    <w:top w:val="non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c>
                <w:tcPr>
                  <w:tcW w:type="dxa" w:w="274"/>
                  <w:vMerge/>
                  <w:tcBorders>
                    <w:top w:val="single" w:color="000000" w:sz="4"/>
                    <w:left w:val="none" w:color="000000" w:sz="4"/>
                    <w:bottom w:val="single" w:color="000000" w:sz="4"/>
                    <w:right w:val="single" w:color="000000" w:sz="4"/>
                  </w:tcBorders>
                </w:tcPr>
                <w:p/>
              </w:tc>
              <w:tc>
                <w:tcPr>
                  <w:tcW w:type="dxa" w:w="1299"/>
                  <w:vMerge/>
                  <w:tcBorders>
                    <w:top w:val="single" w:color="000000" w:sz="4"/>
                    <w:left w:val="none" w:color="000000" w:sz="4"/>
                    <w:bottom w:val="single" w:color="000000" w:sz="4"/>
                    <w:right w:val="single" w:color="000000" w:sz="4"/>
                  </w:tcBorders>
                </w:tcPr>
                <w:p/>
              </w:tc>
            </w:tr>
            <w:tr>
              <w:tc>
                <w:tcPr>
                  <w:tcW w:type="dxa" w:w="1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二</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婴幼儿用塑料奶瓶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0.02</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0.7</w:t>
                  </w:r>
                </w:p>
              </w:tc>
              <w:tc>
                <w:tcPr>
                  <w:tcW w:type="dxa" w:w="2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40.6525</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 4806.7—2023 食品安全国家标准 食品接触用塑料材料及制品：感官要求、总迁移量、高锰酸钾消耗量、重金属（以Pb计）、芳香族伯胺迁移总量、脱色试验、特定迁移总量（以己内酰胺计）（限PA材质）、特定迁移总量（以对苯二甲酸计）（限PET材质）、特定迁移总量（以1,2—乙二醇计）（限PET材质）</w:t>
                  </w:r>
                </w:p>
              </w:tc>
            </w:tr>
            <w:tr>
              <w:tc>
                <w:tcPr>
                  <w:tcW w:type="dxa" w:w="121"/>
                  <w:vMerge/>
                  <w:tcBorders>
                    <w:top w:val="none" w:color="000000" w:sz="4"/>
                    <w:left w:val="single" w:color="000000" w:sz="4"/>
                    <w:bottom w:val="single" w:color="000000" w:sz="4"/>
                    <w:right w:val="single" w:color="000000" w:sz="4"/>
                  </w:tcBorders>
                </w:tc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运动头盔</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0.05</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74"/>
                  <w:vMerge/>
                  <w:tcBorders>
                    <w:top w:val="none" w:color="000000" w:sz="4"/>
                    <w:left w:val="none" w:color="000000" w:sz="4"/>
                    <w:bottom w:val="single" w:color="000000" w:sz="4"/>
                    <w:right w:val="single" w:color="000000" w:sz="4"/>
                  </w:tcBorders>
                </w:tcP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 24429—2009 运动头盔 自行车、滑板、轮滑运动头盔的安全要求和试验方法：结构、头盔视野、头盔佩戴装置稳定性、头盔佩戴装置强度性能、头盔吸收碰撞能量性能（低温）、注：结构的检验项目为5.1、5.1.1 b）、5.1.1 c）、5.1.1 d）、5.1.1 e）、5.1.2 c）、5.1.2 d）、5.1.2 e）、5.1.4、5.1.5</w:t>
                  </w:r>
                </w:p>
              </w:tc>
            </w:tr>
            <w:tr>
              <w:tc>
                <w:tcPr>
                  <w:tcW w:type="dxa" w:w="121"/>
                  <w:vMerge/>
                  <w:tcBorders>
                    <w:top w:val="none" w:color="000000" w:sz="4"/>
                    <w:left w:val="single" w:color="000000" w:sz="4"/>
                    <w:bottom w:val="single" w:color="000000" w:sz="4"/>
                    <w:right w:val="single" w:color="000000" w:sz="4"/>
                  </w:tcBorders>
                </w:tc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密胺塑料餐具</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0.45</w:t>
                  </w:r>
                </w:p>
              </w:tc>
              <w:tc>
                <w:tcPr>
                  <w:tcW w:type="dxa" w:w="274"/>
                  <w:vMerge/>
                  <w:tcBorders>
                    <w:top w:val="none" w:color="000000" w:sz="4"/>
                    <w:left w:val="none" w:color="000000" w:sz="4"/>
                    <w:bottom w:val="single" w:color="000000" w:sz="4"/>
                    <w:right w:val="single" w:color="000000" w:sz="4"/>
                  </w:tcBorders>
                </w:tcP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 4806.7—2023食品安全国家标准 食品接触用塑料材料及制品；GB/T 41001—2021 密胺塑料餐饮具；QB/T 1999—1994 密胺塑料餐具：感官要求、总迁移量、高锰酸钾消耗量、重金属（以Pb计）、芳香族伯胺迁移总量、脱色试验、三聚氰胺特定迁移量、特定迁移总量（以甲醛计）、耐干热性、耐低温性、耐湿热性、耐污染性、翘曲（底部）</w:t>
                  </w:r>
                </w:p>
              </w:tc>
            </w:tr>
            <w:tr>
              <w:tc>
                <w:tcPr>
                  <w:tcW w:type="dxa" w:w="121"/>
                  <w:vMerge/>
                  <w:tcBorders>
                    <w:top w:val="none" w:color="000000" w:sz="4"/>
                    <w:left w:val="single" w:color="000000" w:sz="4"/>
                    <w:bottom w:val="single" w:color="000000" w:sz="4"/>
                    <w:right w:val="single" w:color="000000" w:sz="4"/>
                  </w:tcBorders>
                </w:tc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家用清洁剂</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0.02</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4"/>
                  <w:vMerge/>
                  <w:tcBorders>
                    <w:top w:val="none" w:color="000000" w:sz="4"/>
                    <w:left w:val="none" w:color="000000" w:sz="4"/>
                    <w:bottom w:val="single" w:color="000000" w:sz="4"/>
                    <w:right w:val="single" w:color="000000" w:sz="4"/>
                  </w:tcBorders>
                </w:tcP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GB/T 21241—2022 卫生洁具清洗剂；GB/T 35833—2018 厨房油污清洁剂；QB/T 4086—2010 玻璃清洗剂：卫生洁具清洗剂：总酸度、总有效物含量、腐蚀性；玻璃清洗剂：表面张力、pH值</w:t>
                  </w:r>
                  <w:r>
                    <w:br/>
                  </w:r>
                  <w:r>
                    <w:rPr>
                      <w:rFonts w:ascii="仿宋_GB2312" w:hAnsi="仿宋_GB2312" w:cs="仿宋_GB2312" w:eastAsia="仿宋_GB2312"/>
                      <w:sz w:val="18"/>
                      <w:color w:val="000000"/>
                    </w:rPr>
                    <w:t>厨房油污清洁剂：总活性物含量、碱度、</w:t>
                  </w:r>
                  <w:r>
                    <w:rPr>
                      <w:rFonts w:ascii="仿宋_GB2312" w:hAnsi="仿宋_GB2312" w:cs="仿宋_GB2312" w:eastAsia="仿宋_GB2312"/>
                      <w:sz w:val="18"/>
                      <w:color w:val="000000"/>
                    </w:rPr>
                    <w:t>pH值、腐蚀量、总五氧化二磷含量</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标的名称：玩具等3种产品质量监督抽查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18"/>
              <w:gridCol w:w="256"/>
              <w:gridCol w:w="189"/>
              <w:gridCol w:w="157"/>
              <w:gridCol w:w="130"/>
              <w:gridCol w:w="189"/>
              <w:gridCol w:w="224"/>
              <w:gridCol w:w="1268"/>
            </w:tblGrid>
            <w:tr>
              <w:tc>
                <w:tcPr>
                  <w:tcW w:type="dxa" w:w="11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25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0"/>
                      <w:b/>
                      <w:color w:val="000000"/>
                    </w:rPr>
                    <w:t>产品名称</w:t>
                  </w:r>
                </w:p>
              </w:tc>
              <w:tc>
                <w:tcPr>
                  <w:tcW w:type="dxa" w:w="18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购样</w:t>
                  </w:r>
                  <w:r>
                    <w:br/>
                  </w:r>
                  <w:r>
                    <w:rPr>
                      <w:rFonts w:ascii="仿宋_GB2312" w:hAnsi="仿宋_GB2312" w:cs="仿宋_GB2312" w:eastAsia="仿宋_GB2312"/>
                      <w:sz w:val="20"/>
                      <w:b/>
                      <w:color w:val="000000"/>
                    </w:rPr>
                    <w:t>单批次价格</w:t>
                  </w:r>
                  <w:r>
                    <w:br/>
                  </w:r>
                  <w:r>
                    <w:rPr>
                      <w:rFonts w:ascii="仿宋_GB2312" w:hAnsi="仿宋_GB2312" w:cs="仿宋_GB2312" w:eastAsia="仿宋_GB2312"/>
                      <w:sz w:val="20"/>
                      <w:b/>
                      <w:color w:val="000000"/>
                    </w:rPr>
                    <w:t>（万元</w:t>
                  </w:r>
                  <w:r>
                    <w:rPr>
                      <w:rFonts w:ascii="仿宋_GB2312" w:hAnsi="仿宋_GB2312" w:cs="仿宋_GB2312" w:eastAsia="仿宋_GB2312"/>
                      <w:sz w:val="20"/>
                      <w:b/>
                      <w:color w:val="000000"/>
                    </w:rPr>
                    <w:t>/批次）</w:t>
                  </w:r>
                </w:p>
              </w:tc>
              <w:tc>
                <w:tcPr>
                  <w:tcW w:type="dxa" w:w="28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定价招标，增加总批次数</w:t>
                  </w:r>
                </w:p>
              </w:tc>
              <w:tc>
                <w:tcPr>
                  <w:tcW w:type="dxa" w:w="18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批次递增，购样费用</w:t>
                  </w:r>
                  <w:r>
                    <w:rPr>
                      <w:rFonts w:ascii="仿宋_GB2312" w:hAnsi="仿宋_GB2312" w:cs="仿宋_GB2312" w:eastAsia="仿宋_GB2312"/>
                      <w:sz w:val="21"/>
                      <w:b/>
                      <w:color w:val="000000"/>
                    </w:rPr>
                    <w:t>相应</w:t>
                  </w:r>
                  <w:r>
                    <w:rPr>
                      <w:rFonts w:ascii="仿宋_GB2312" w:hAnsi="仿宋_GB2312" w:cs="仿宋_GB2312" w:eastAsia="仿宋_GB2312"/>
                      <w:sz w:val="20"/>
                      <w:b/>
                      <w:color w:val="000000"/>
                    </w:rPr>
                    <w:t>累加</w:t>
                  </w:r>
                  <w:r>
                    <w:br/>
                  </w:r>
                  <w:r>
                    <w:rPr>
                      <w:rFonts w:ascii="仿宋_GB2312" w:hAnsi="仿宋_GB2312" w:cs="仿宋_GB2312" w:eastAsia="仿宋_GB2312"/>
                      <w:sz w:val="20"/>
                      <w:b/>
                      <w:color w:val="000000"/>
                    </w:rPr>
                    <w:t>（万元）</w:t>
                  </w:r>
                </w:p>
              </w:tc>
              <w:tc>
                <w:tcPr>
                  <w:tcW w:type="dxa" w:w="22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总抽检费</w:t>
                  </w:r>
                  <w:r>
                    <w:br/>
                  </w:r>
                  <w:r>
                    <w:rPr>
                      <w:rFonts w:ascii="仿宋_GB2312" w:hAnsi="仿宋_GB2312" w:cs="仿宋_GB2312" w:eastAsia="仿宋_GB2312"/>
                      <w:sz w:val="20"/>
                      <w:b/>
                      <w:color w:val="000000"/>
                    </w:rPr>
                    <w:t>（万元）</w:t>
                  </w:r>
                </w:p>
              </w:tc>
              <w:tc>
                <w:tcPr>
                  <w:tcW w:type="dxa" w:w="126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执行标准及检验项目</w:t>
                  </w:r>
                </w:p>
              </w:tc>
            </w:tr>
            <w:tr>
              <w:tc>
                <w:tcPr>
                  <w:tcW w:type="dxa" w:w="118"/>
                  <w:vMerge/>
                  <w:tcBorders>
                    <w:top w:val="single" w:color="000000" w:sz="4"/>
                    <w:left w:val="single" w:color="000000" w:sz="4"/>
                    <w:bottom w:val="single" w:color="000000" w:sz="4"/>
                    <w:right w:val="single" w:color="000000" w:sz="4"/>
                  </w:tcBorders>
                </w:tcPr>
                <w:p/>
              </w:tc>
              <w:tc>
                <w:tcPr>
                  <w:tcW w:type="dxa" w:w="256"/>
                  <w:vMerge/>
                  <w:tcBorders>
                    <w:top w:val="single" w:color="000000" w:sz="4"/>
                    <w:left w:val="none" w:color="000000" w:sz="4"/>
                    <w:bottom w:val="single" w:color="000000" w:sz="4"/>
                    <w:right w:val="single" w:color="000000" w:sz="4"/>
                  </w:tcBorders>
                </w:tcPr>
                <w:p/>
              </w:tc>
              <w:tc>
                <w:tcPr>
                  <w:tcW w:type="dxa" w:w="189"/>
                  <w:vMerge/>
                  <w:tcBorders>
                    <w:top w:val="single" w:color="000000" w:sz="4"/>
                    <w:left w:val="none" w:color="000000" w:sz="4"/>
                    <w:bottom w:val="single" w:color="000000" w:sz="4"/>
                    <w:right w:val="single" w:color="000000" w:sz="4"/>
                  </w:tcBorders>
                </w:tcPr>
                <w:p/>
              </w:tc>
              <w:tc>
                <w:tcPr>
                  <w:tcW w:type="dxa" w:w="1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总批次数</w:t>
                  </w:r>
                </w:p>
              </w:tc>
              <w:tc>
                <w:tcPr>
                  <w:tcW w:type="dxa" w:w="1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其中网抽批次数</w:t>
                  </w:r>
                </w:p>
              </w:tc>
              <w:tc>
                <w:tcPr>
                  <w:tcW w:type="dxa" w:w="189"/>
                  <w:vMerge/>
                  <w:tcBorders>
                    <w:top w:val="single" w:color="000000" w:sz="4"/>
                    <w:left w:val="none" w:color="000000" w:sz="4"/>
                    <w:bottom w:val="single" w:color="000000" w:sz="4"/>
                    <w:right w:val="single" w:color="000000" w:sz="4"/>
                  </w:tcBorders>
                </w:tcPr>
                <w:p/>
              </w:tc>
              <w:tc>
                <w:tcPr>
                  <w:tcW w:type="dxa" w:w="224"/>
                  <w:vMerge/>
                  <w:tcBorders>
                    <w:top w:val="single" w:color="000000" w:sz="4"/>
                    <w:left w:val="none" w:color="000000" w:sz="4"/>
                    <w:bottom w:val="single" w:color="000000" w:sz="4"/>
                    <w:right w:val="single" w:color="000000" w:sz="4"/>
                  </w:tcBorders>
                </w:tcPr>
                <w:p/>
              </w:tc>
              <w:tc>
                <w:tcPr>
                  <w:tcW w:type="dxa" w:w="1268"/>
                  <w:vMerge/>
                  <w:tcBorders>
                    <w:top w:val="single" w:color="000000" w:sz="4"/>
                    <w:left w:val="none" w:color="000000" w:sz="4"/>
                    <w:bottom w:val="single" w:color="000000" w:sz="4"/>
                    <w:right w:val="single" w:color="000000" w:sz="4"/>
                  </w:tcBorders>
                </w:tcPr>
                <w:p/>
              </w:tc>
            </w:tr>
            <w:tr>
              <w:tc>
                <w:tcPr>
                  <w:tcW w:type="dxa" w:w="118"/>
                  <w:vMerge/>
                  <w:tcBorders>
                    <w:top w:val="single" w:color="000000" w:sz="4"/>
                    <w:left w:val="single" w:color="000000" w:sz="4"/>
                    <w:bottom w:val="single" w:color="000000" w:sz="4"/>
                    <w:right w:val="single" w:color="000000" w:sz="4"/>
                  </w:tcBorders>
                </w:tcPr>
                <w:p/>
              </w:tc>
              <w:tc>
                <w:tcPr>
                  <w:tcW w:type="dxa" w:w="256"/>
                  <w:vMerge/>
                  <w:tcBorders>
                    <w:top w:val="single" w:color="000000" w:sz="4"/>
                    <w:left w:val="none" w:color="000000" w:sz="4"/>
                    <w:bottom w:val="single" w:color="000000" w:sz="4"/>
                    <w:right w:val="single" w:color="000000" w:sz="4"/>
                  </w:tcBorders>
                </w:tcPr>
                <w:p/>
              </w:tc>
              <w:tc>
                <w:tcPr>
                  <w:tcW w:type="dxa" w:w="189"/>
                  <w:vMerge/>
                  <w:tcBorders>
                    <w:top w:val="single" w:color="000000" w:sz="4"/>
                    <w:left w:val="non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c>
                <w:tcPr>
                  <w:tcW w:type="dxa" w:w="189"/>
                  <w:vMerge/>
                  <w:tcBorders>
                    <w:top w:val="single" w:color="000000" w:sz="4"/>
                    <w:left w:val="none" w:color="000000" w:sz="4"/>
                    <w:bottom w:val="single" w:color="000000" w:sz="4"/>
                    <w:right w:val="single" w:color="000000" w:sz="4"/>
                  </w:tcBorders>
                </w:tcPr>
                <w:p/>
              </w:tc>
              <w:tc>
                <w:tcPr>
                  <w:tcW w:type="dxa" w:w="224"/>
                  <w:vMerge/>
                  <w:tcBorders>
                    <w:top w:val="single" w:color="000000" w:sz="4"/>
                    <w:left w:val="none" w:color="000000" w:sz="4"/>
                    <w:bottom w:val="single" w:color="000000" w:sz="4"/>
                    <w:right w:val="single" w:color="000000" w:sz="4"/>
                  </w:tcBorders>
                </w:tcPr>
                <w:p/>
              </w:tc>
              <w:tc>
                <w:tcPr>
                  <w:tcW w:type="dxa" w:w="1268"/>
                  <w:vMerge/>
                  <w:tcBorders>
                    <w:top w:val="single" w:color="000000" w:sz="4"/>
                    <w:left w:val="none" w:color="000000" w:sz="4"/>
                    <w:bottom w:val="single" w:color="000000" w:sz="4"/>
                    <w:right w:val="single" w:color="000000" w:sz="4"/>
                  </w:tcBorders>
                </w:tcP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玩具</w:t>
                  </w:r>
                </w:p>
              </w:tc>
              <w:tc>
                <w:tcPr>
                  <w:tcW w:type="dxa" w:w="18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51.15</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 6675.1—2014 玩具安全  第1部分：基本规范；GB 6675.2—2014 玩具安全  第2部分：机械与物理性能（含第1号修改单）；GB 6675.3—2014 玩具安全  第3部分：易燃性能；GB 6675.4—2014 玩具安全  第4部分：特定元素的迁移；GB 19865—2005 电玩具的安全（含第1号修改单）；GB 19865/T—2024 电玩具的安全；GB/T 22048—2022 玩具及儿童用品中特定邻苯二甲酸酯增塑剂的测定</w:t>
                  </w:r>
                  <w:r>
                    <w:br/>
                  </w:r>
                  <w:r>
                    <w:rPr>
                      <w:rFonts w:ascii="仿宋_GB2312" w:hAnsi="仿宋_GB2312" w:cs="仿宋_GB2312" w:eastAsia="仿宋_GB2312"/>
                      <w:sz w:val="18"/>
                      <w:color w:val="000000"/>
                    </w:rPr>
                    <w:t>现行有效的企业标准、团体标准、地方标准及产品明示质量要求：一、机械与物理性能（正常使用和可预见的合理滥用）：材料、小零件、挤压玩具、摇铃及类似玩具、小球、毛球、学前玩偶、玩具奶嘴、气球、弹珠、半球形玩具、可触及的金属或玻璃边缘、功能性锐利边缘、金属玩具边缘、模塑玩具边缘、外露螺栓或螺纹杆的边缘、可触及的锐利尖端、功能性锐利尖端、木制玩具、突出物、把手和其他类似的管子、金属丝和杆件、用于包装或玩具中的塑料袋或塑料薄膜、</w:t>
                  </w:r>
                  <w:r>
                    <w:rPr>
                      <w:rFonts w:ascii="仿宋_GB2312" w:hAnsi="仿宋_GB2312" w:cs="仿宋_GB2312" w:eastAsia="仿宋_GB2312"/>
                      <w:sz w:val="18"/>
                      <w:color w:val="000000"/>
                    </w:rPr>
                    <w:t>18个月以下儿童使用的玩具上的绳索和弹性绳、18个月以下儿童使用的玩具上的自回缩绳、36个月以下儿童使用的拖拉玩具上的绳索或弹性绳、玩具袋上的绳索、童床或游戏围栏上的悬挂玩具、童床上的健身玩具及类似玩具、飞行玩具的绳索、细绳或线、玩具推车、玩具婴儿车及类似玩具、带有折叠机构的其他玩具、铰链间隙、刚性材料上的圆孔、活动部件间的间隙、其他驱动机构、发条钥匙、弹簧、封闭式玩具的通风装置、封闭式玩具的关闭件、封闭头部的玩具、仿制防护玩具（头盔、帽子、护目镜）、弹射玩具的一般要求、蓄能弹射玩具、非蓄能弹射玩具、水上玩具、热源玩具、液体填充玩具、口动玩具、玩具滚轴溜冰鞋、单排滚轴溜冰鞋及玩具滑板、玩具火药帽、声响要求、磁体和磁性部件</w:t>
                  </w:r>
                  <w:r>
                    <w:br/>
                  </w:r>
                  <w:r>
                    <w:rPr>
                      <w:rFonts w:ascii="仿宋_GB2312" w:hAnsi="仿宋_GB2312" w:cs="仿宋_GB2312" w:eastAsia="仿宋_GB2312"/>
                      <w:sz w:val="18"/>
                      <w:color w:val="000000"/>
                    </w:rPr>
                    <w:t>二、易燃性能：一般要求、头戴玩具、化妆服饰、供儿童进入的玩具、具有毛绒或纺织表面的软体填充玩具（动物和娃娃等）</w:t>
                  </w:r>
                  <w:r>
                    <w:br/>
                  </w:r>
                  <w:r>
                    <w:rPr>
                      <w:rFonts w:ascii="仿宋_GB2312" w:hAnsi="仿宋_GB2312" w:cs="仿宋_GB2312" w:eastAsia="仿宋_GB2312"/>
                      <w:sz w:val="18"/>
                      <w:color w:val="000000"/>
                    </w:rPr>
                    <w:t>三、特定元素的迁移：最大限量要求</w:t>
                  </w:r>
                  <w:r>
                    <w:br/>
                  </w:r>
                  <w:r>
                    <w:rPr>
                      <w:rFonts w:ascii="仿宋_GB2312" w:hAnsi="仿宋_GB2312" w:cs="仿宋_GB2312" w:eastAsia="仿宋_GB2312"/>
                      <w:sz w:val="18"/>
                      <w:color w:val="000000"/>
                    </w:rPr>
                    <w:t>四、增塑剂：限定增塑剂限量要求</w:t>
                  </w:r>
                  <w:r>
                    <w:br/>
                  </w:r>
                  <w:r>
                    <w:rPr>
                      <w:rFonts w:ascii="仿宋_GB2312" w:hAnsi="仿宋_GB2312" w:cs="仿宋_GB2312" w:eastAsia="仿宋_GB2312"/>
                      <w:sz w:val="18"/>
                      <w:color w:val="000000"/>
                    </w:rPr>
                    <w:t>五、电性能：标识和说明、输入功率、发热和非正常工作、工作温度下的电气强度、耐潮湿、室温下的电气强度、机械强度、结构、软线和电线的保护、螺钉和连接、电气间隙和爬电距离、耐热和耐燃</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童车</w:t>
                  </w:r>
                </w:p>
              </w:tc>
              <w:tc>
                <w:tcPr>
                  <w:tcW w:type="dxa" w:w="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0.06</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224"/>
                  <w:vMerge/>
                  <w:tcBorders>
                    <w:top w:val="none" w:color="000000" w:sz="4"/>
                    <w:left w:val="none" w:color="000000" w:sz="4"/>
                    <w:bottom w:val="single" w:color="000000" w:sz="4"/>
                    <w:right w:val="single" w:color="000000" w:sz="4"/>
                  </w:tcBorders>
                </w:tc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 6675.1—2014 玩具安全  第1部分：基本规范；GB 6675.2—2014 玩具安全  第2部分：机械与物理性能（含第1号修改单）</w:t>
                  </w:r>
                  <w:r>
                    <w:br/>
                  </w:r>
                  <w:r>
                    <w:rPr>
                      <w:rFonts w:ascii="仿宋_GB2312" w:hAnsi="仿宋_GB2312" w:cs="仿宋_GB2312" w:eastAsia="仿宋_GB2312"/>
                      <w:sz w:val="18"/>
                      <w:color w:val="000000"/>
                    </w:rPr>
                    <w:t>GB 6675.3—2014 玩具安全  第3部分：易燃性能；GB 6675.4—2014 玩具安全  第4部分：特定元素的迁移；GB 14746—2006 儿童自行车安全要求；GB 14747—2006 儿童三轮车安全要求；GB 14748—2006 儿童推车安全要求；GB 14749—2006 婴儿学步车安全要求；GB 19865—2005 电玩具的安全（含第1号修改单）儿童自行车：锐利边缘、外露突出物、突出物禁区、保护装置和螺钉、制动系统、闸把尺寸、制动系统的强度（手闸）、手闸性能试验、把横管、把横管的把套、把立管、车把稳定性、车把部件的强度、冲击试验（重物落下）、冲击试验（车架/前叉组合件落下）、车轮（间隙）、前轮夹持力、后轮夹持力、地面间隙、足尖间隙、脚蹬/曲柄部件动态试验、限制尺寸、鞍管、鞍座调节夹紧装置、鞍座的强度、驱动系统静负荷试验、链罩、平衡轮（尺寸）、</w:t>
                  </w:r>
                  <w:r>
                    <w:br/>
                  </w:r>
                  <w:r>
                    <w:rPr>
                      <w:rFonts w:ascii="仿宋_GB2312" w:hAnsi="仿宋_GB2312" w:cs="仿宋_GB2312" w:eastAsia="仿宋_GB2312"/>
                      <w:sz w:val="18"/>
                      <w:color w:val="000000"/>
                    </w:rPr>
                    <w:t>儿童三轮车</w:t>
                  </w:r>
                  <w:r>
                    <w:rPr>
                      <w:rFonts w:ascii="仿宋_GB2312" w:hAnsi="仿宋_GB2312" w:cs="仿宋_GB2312" w:eastAsia="仿宋_GB2312"/>
                      <w:sz w:val="18"/>
                      <w:color w:val="000000"/>
                    </w:rPr>
                    <w:t>:特定可迁移元素最大限量、燃烧性能、机械强度、锐利边缘、锐利尖端、外露突出物、挤夹点、小零件、行驶稳定性、连接紧固件、防护罩帽、把立管插入深度标记、把立管的强度、把横管、把横管两端、把立管夹紧装置、鞍管插入深度、鞍座调节夹紧装置、冲击强度、靠背结构牢固性、辅助推杆强度、脚蹬离地高度、</w:t>
                  </w:r>
                  <w:r>
                    <w:br/>
                  </w:r>
                  <w:r>
                    <w:rPr>
                      <w:rFonts w:ascii="仿宋_GB2312" w:hAnsi="仿宋_GB2312" w:cs="仿宋_GB2312" w:eastAsia="仿宋_GB2312"/>
                      <w:sz w:val="18"/>
                      <w:color w:val="000000"/>
                    </w:rPr>
                    <w:t>儿童推车：材料质量、特定可迁移元素最大限量、金属表面、燃烧性能、外露的开口管子、危险夹缝、剪切和挤夹点、锐利边缘和尖端、小零件、外露突出物、机械部件的连接、卧兜的最小内部高度、座兜的座垫与靠背的角度和靠背的高度、推车的适用年龄、卧兜和座兜连接在车架上的装置、稳定性、手把强度、制动装置、折叠锁定装置、可拆卸卧兜或座兜的连接装置的强度和耐用性、束缚系统的强度、安全带扣的强度、车轮的强度、动态耐久性测试、撞击强度、静态强度、</w:t>
                  </w:r>
                  <w:r>
                    <w:br/>
                  </w:r>
                  <w:r>
                    <w:rPr>
                      <w:rFonts w:ascii="仿宋_GB2312" w:hAnsi="仿宋_GB2312" w:cs="仿宋_GB2312" w:eastAsia="仿宋_GB2312"/>
                      <w:sz w:val="18"/>
                      <w:color w:val="000000"/>
                    </w:rPr>
                    <w:t>婴儿学步车：材料质量、特定可迁移元素最大限量、金属表面、木制部件、危险夹缝及孔、开口、弹簧、外露突出物、可触及部件、绳索</w:t>
                  </w:r>
                  <w:r>
                    <w:rPr>
                      <w:rFonts w:ascii="仿宋_GB2312" w:hAnsi="仿宋_GB2312" w:cs="仿宋_GB2312" w:eastAsia="仿宋_GB2312"/>
                      <w:sz w:val="18"/>
                      <w:color w:val="000000"/>
                    </w:rPr>
                    <w:t>/弹性绳等绳状物、锁定、折叠和框架调节装置、挤夹、剪切、跨带宽度、座位、学步车脚轮、框架离地高度、防撞间距、静态稳定性、动态稳定性、静态强度、动态强度、碰撞强度、燃烧性能、</w:t>
                  </w:r>
                  <w:r>
                    <w:br/>
                  </w:r>
                  <w:r>
                    <w:rPr>
                      <w:rFonts w:ascii="仿宋_GB2312" w:hAnsi="仿宋_GB2312" w:cs="仿宋_GB2312" w:eastAsia="仿宋_GB2312"/>
                      <w:sz w:val="18"/>
                      <w:color w:val="000000"/>
                    </w:rPr>
                    <w:t>乘骑车辆玩具：机械与物理性能（正常使用和可预见的合理滥用）：材料、小零件、小球、可触及的金属或玻璃边缘、功能性锐利边缘、金属玩具边缘、模塑玩具边缘、外露螺栓或螺纹杆的边缘、可触及的锐利尖端、功能性锐利尖端、突出物、把手和其他类似的管子、金属丝和杆件、</w:t>
                  </w:r>
                  <w:r>
                    <w:rPr>
                      <w:rFonts w:ascii="仿宋_GB2312" w:hAnsi="仿宋_GB2312" w:cs="仿宋_GB2312" w:eastAsia="仿宋_GB2312"/>
                      <w:sz w:val="18"/>
                      <w:color w:val="000000"/>
                    </w:rPr>
                    <w:t>36个月以下儿童使用的拖拉玩具上的绳索或弹性绳、带有折叠机构的其他玩具、铰链间隙、刚性材料上的圆孔、活动部件间的间隙、乘骑玩具的传动链或皮带、其他驱动机构、弹簧、可用脚起稳定作用的玩具的侧倾稳定性、不可用脚起稳定作用的玩具的侧倾稳定性、前后稳定性、乘骑玩具及座位的超载性能、制动装置、电动童车的速度要求、声响要求、易燃性能(一般要求)、特定元素的迁移(最大限量要求)、增塑剂(限定增塑剂限量要求)、电性能（标识和说明、输入功率、发热和非正常工作、工作温度下的电气强度、耐潮湿、室温下的电气强度、机械强度、结构、软线和电线的保护、螺钉和连接、电气间隙和爬电距离、耐热和耐燃、）</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轮滑鞋</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0.03</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1.35</w:t>
                  </w:r>
                </w:p>
              </w:tc>
              <w:tc>
                <w:tcPr>
                  <w:tcW w:type="dxa" w:w="224"/>
                  <w:vMerge/>
                  <w:tcBorders>
                    <w:top w:val="none" w:color="000000" w:sz="4"/>
                    <w:left w:val="none" w:color="000000" w:sz="4"/>
                    <w:bottom w:val="single" w:color="000000" w:sz="4"/>
                    <w:right w:val="single" w:color="000000" w:sz="4"/>
                  </w:tcBorders>
                </w:tc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GB/T 20096-2021 轮滑鞋；现行有效的执行企业标准、团体标准、地方标准及产品明示质量要求：制动器下端与地面距离、轮子硬度、轮子磨损率、高温性能、低温跌落性能、尖端、易操纵性能、紧束装置连接牢固性能、鞋与轮架连接牢固性能、轮架可靠性能-垂直撞击、轮架可靠性能-正面撞击、轮子摩擦系数、耐久性能、制动器可靠性能、可分解有害芳香胺染料含量、游离或可部分水解的甲醛含量</w:t>
                  </w: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标的名称：新型墙体材料（砖和砌块）等6种产品质量监督抽查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99"/>
              <w:gridCol w:w="160"/>
              <w:gridCol w:w="160"/>
              <w:gridCol w:w="107"/>
              <w:gridCol w:w="133"/>
              <w:gridCol w:w="164"/>
              <w:gridCol w:w="194"/>
              <w:gridCol w:w="1521"/>
            </w:tblGrid>
            <w:tr>
              <w:tc>
                <w:tcPr>
                  <w:tcW w:type="dxa" w:w="9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6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0"/>
                      <w:b/>
                      <w:color w:val="000000"/>
                    </w:rPr>
                    <w:t>产品名称</w:t>
                  </w:r>
                </w:p>
              </w:tc>
              <w:tc>
                <w:tcPr>
                  <w:tcW w:type="dxa" w:w="16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购样</w:t>
                  </w:r>
                  <w:r>
                    <w:br/>
                  </w:r>
                  <w:r>
                    <w:rPr>
                      <w:rFonts w:ascii="仿宋_GB2312" w:hAnsi="仿宋_GB2312" w:cs="仿宋_GB2312" w:eastAsia="仿宋_GB2312"/>
                      <w:sz w:val="20"/>
                      <w:b/>
                      <w:color w:val="000000"/>
                    </w:rPr>
                    <w:t>单批次价格</w:t>
                  </w:r>
                  <w:r>
                    <w:br/>
                  </w:r>
                  <w:r>
                    <w:rPr>
                      <w:rFonts w:ascii="仿宋_GB2312" w:hAnsi="仿宋_GB2312" w:cs="仿宋_GB2312" w:eastAsia="仿宋_GB2312"/>
                      <w:sz w:val="20"/>
                      <w:b/>
                      <w:color w:val="000000"/>
                    </w:rPr>
                    <w:t>（万元</w:t>
                  </w:r>
                  <w:r>
                    <w:rPr>
                      <w:rFonts w:ascii="仿宋_GB2312" w:hAnsi="仿宋_GB2312" w:cs="仿宋_GB2312" w:eastAsia="仿宋_GB2312"/>
                      <w:sz w:val="20"/>
                      <w:b/>
                      <w:color w:val="000000"/>
                    </w:rPr>
                    <w:t>/批次）</w:t>
                  </w:r>
                </w:p>
              </w:tc>
              <w:tc>
                <w:tcPr>
                  <w:tcW w:type="dxa" w:w="24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定价招标，增加总批次数</w:t>
                  </w:r>
                </w:p>
              </w:tc>
              <w:tc>
                <w:tcPr>
                  <w:tcW w:type="dxa" w:w="16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批次递增，购样费用</w:t>
                  </w:r>
                  <w:r>
                    <w:rPr>
                      <w:rFonts w:ascii="仿宋_GB2312" w:hAnsi="仿宋_GB2312" w:cs="仿宋_GB2312" w:eastAsia="仿宋_GB2312"/>
                      <w:sz w:val="21"/>
                      <w:b/>
                      <w:color w:val="000000"/>
                    </w:rPr>
                    <w:t>相应</w:t>
                  </w:r>
                  <w:r>
                    <w:rPr>
                      <w:rFonts w:ascii="仿宋_GB2312" w:hAnsi="仿宋_GB2312" w:cs="仿宋_GB2312" w:eastAsia="仿宋_GB2312"/>
                      <w:sz w:val="20"/>
                      <w:b/>
                      <w:color w:val="000000"/>
                    </w:rPr>
                    <w:t>累加</w:t>
                  </w:r>
                  <w:r>
                    <w:br/>
                  </w:r>
                  <w:r>
                    <w:rPr>
                      <w:rFonts w:ascii="仿宋_GB2312" w:hAnsi="仿宋_GB2312" w:cs="仿宋_GB2312" w:eastAsia="仿宋_GB2312"/>
                      <w:sz w:val="20"/>
                      <w:b/>
                      <w:color w:val="000000"/>
                    </w:rPr>
                    <w:t>（万元）</w:t>
                  </w:r>
                </w:p>
              </w:tc>
              <w:tc>
                <w:tcPr>
                  <w:tcW w:type="dxa" w:w="19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总抽检费</w:t>
                  </w:r>
                  <w:r>
                    <w:br/>
                  </w:r>
                  <w:r>
                    <w:rPr>
                      <w:rFonts w:ascii="仿宋_GB2312" w:hAnsi="仿宋_GB2312" w:cs="仿宋_GB2312" w:eastAsia="仿宋_GB2312"/>
                      <w:sz w:val="20"/>
                      <w:b/>
                      <w:color w:val="000000"/>
                    </w:rPr>
                    <w:t>（万元）</w:t>
                  </w:r>
                </w:p>
              </w:tc>
              <w:tc>
                <w:tcPr>
                  <w:tcW w:type="dxa" w:w="152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执行标准及检验项目</w:t>
                  </w:r>
                </w:p>
              </w:tc>
            </w:tr>
            <w:tr>
              <w:tc>
                <w:tcPr>
                  <w:tcW w:type="dxa" w:w="99"/>
                  <w:vMerge/>
                  <w:tcBorders>
                    <w:top w:val="single" w:color="000000" w:sz="4"/>
                    <w:left w:val="single" w:color="000000" w:sz="4"/>
                    <w:bottom w:val="single" w:color="000000" w:sz="4"/>
                    <w:right w:val="single" w:color="000000" w:sz="4"/>
                  </w:tcBorders>
                </w:tcPr>
                <w:p/>
              </w:tc>
              <w:tc>
                <w:tcPr>
                  <w:tcW w:type="dxa" w:w="160"/>
                  <w:vMerge/>
                  <w:tcBorders>
                    <w:top w:val="single" w:color="000000" w:sz="4"/>
                    <w:left w:val="none" w:color="000000" w:sz="4"/>
                    <w:bottom w:val="single" w:color="000000" w:sz="4"/>
                    <w:right w:val="single" w:color="000000" w:sz="4"/>
                  </w:tcBorders>
                </w:tcPr>
                <w:p/>
              </w:tc>
              <w:tc>
                <w:tcPr>
                  <w:tcW w:type="dxa" w:w="160"/>
                  <w:vMerge/>
                  <w:tcBorders>
                    <w:top w:val="single" w:color="000000" w:sz="4"/>
                    <w:left w:val="none" w:color="000000" w:sz="4"/>
                    <w:bottom w:val="single" w:color="000000" w:sz="4"/>
                    <w:right w:val="single" w:color="000000" w:sz="4"/>
                  </w:tcBorders>
                </w:tcPr>
                <w:p/>
              </w:tc>
              <w:tc>
                <w:tcPr>
                  <w:tcW w:type="dxa" w:w="1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总批次数</w:t>
                  </w:r>
                </w:p>
              </w:tc>
              <w:tc>
                <w:tcPr>
                  <w:tcW w:type="dxa" w:w="1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其中网抽批次数</w:t>
                  </w:r>
                </w:p>
              </w:tc>
              <w:tc>
                <w:tcPr>
                  <w:tcW w:type="dxa" w:w="164"/>
                  <w:vMerge/>
                  <w:tcBorders>
                    <w:top w:val="single" w:color="000000" w:sz="4"/>
                    <w:left w:val="none" w:color="000000" w:sz="4"/>
                    <w:bottom w:val="single" w:color="000000" w:sz="4"/>
                    <w:right w:val="single" w:color="000000" w:sz="4"/>
                  </w:tcBorders>
                </w:tcPr>
                <w:p/>
              </w:tc>
              <w:tc>
                <w:tcPr>
                  <w:tcW w:type="dxa" w:w="194"/>
                  <w:vMerge/>
                  <w:tcBorders>
                    <w:top w:val="single" w:color="000000" w:sz="4"/>
                    <w:left w:val="none" w:color="000000" w:sz="4"/>
                    <w:bottom w:val="single" w:color="000000" w:sz="4"/>
                    <w:right w:val="single" w:color="000000" w:sz="4"/>
                  </w:tcBorders>
                </w:tcPr>
                <w:p/>
              </w:tc>
              <w:tc>
                <w:tcPr>
                  <w:tcW w:type="dxa" w:w="1521"/>
                  <w:vMerge/>
                  <w:tcBorders>
                    <w:top w:val="single" w:color="000000" w:sz="4"/>
                    <w:left w:val="none" w:color="000000" w:sz="4"/>
                    <w:bottom w:val="single" w:color="000000" w:sz="4"/>
                    <w:right w:val="single" w:color="000000" w:sz="4"/>
                  </w:tcBorders>
                </w:tcPr>
                <w:p/>
              </w:tc>
            </w:tr>
            <w:tr>
              <w:tc>
                <w:tcPr>
                  <w:tcW w:type="dxa" w:w="99"/>
                  <w:vMerge/>
                  <w:tcBorders>
                    <w:top w:val="single" w:color="000000" w:sz="4"/>
                    <w:left w:val="single" w:color="000000" w:sz="4"/>
                    <w:bottom w:val="single" w:color="000000" w:sz="4"/>
                    <w:right w:val="single" w:color="000000" w:sz="4"/>
                  </w:tcBorders>
                </w:tcPr>
                <w:p/>
              </w:tc>
              <w:tc>
                <w:tcPr>
                  <w:tcW w:type="dxa" w:w="160"/>
                  <w:vMerge/>
                  <w:tcBorders>
                    <w:top w:val="single" w:color="000000" w:sz="4"/>
                    <w:left w:val="none" w:color="000000" w:sz="4"/>
                    <w:bottom w:val="single" w:color="000000" w:sz="4"/>
                    <w:right w:val="single" w:color="000000" w:sz="4"/>
                  </w:tcBorders>
                </w:tcPr>
                <w:p/>
              </w:tc>
              <w:tc>
                <w:tcPr>
                  <w:tcW w:type="dxa" w:w="160"/>
                  <w:vMerge/>
                  <w:tcBorders>
                    <w:top w:val="single" w:color="000000" w:sz="4"/>
                    <w:left w:val="none" w:color="000000" w:sz="4"/>
                    <w:bottom w:val="single" w:color="000000" w:sz="4"/>
                    <w:right w:val="single" w:color="000000" w:sz="4"/>
                  </w:tcBorders>
                </w:tcPr>
                <w:p/>
              </w:tc>
              <w:tc>
                <w:tcPr>
                  <w:tcW w:type="dxa" w:w="107"/>
                  <w:vMerge/>
                  <w:tcBorders>
                    <w:top w:val="none" w:color="000000" w:sz="4"/>
                    <w:left w:val="none" w:color="000000" w:sz="4"/>
                    <w:bottom w:val="single" w:color="000000" w:sz="4"/>
                    <w:right w:val="single" w:color="000000" w:sz="4"/>
                  </w:tcBorders>
                </w:tcPr>
                <w:p/>
              </w:tc>
              <w:tc>
                <w:tcPr>
                  <w:tcW w:type="dxa" w:w="133"/>
                  <w:vMerge/>
                  <w:tcBorders>
                    <w:top w:val="non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c>
                <w:tcPr>
                  <w:tcW w:type="dxa" w:w="194"/>
                  <w:vMerge/>
                  <w:tcBorders>
                    <w:top w:val="single" w:color="000000" w:sz="4"/>
                    <w:left w:val="none" w:color="000000" w:sz="4"/>
                    <w:bottom w:val="single" w:color="000000" w:sz="4"/>
                    <w:right w:val="single" w:color="000000" w:sz="4"/>
                  </w:tcBorders>
                </w:tcPr>
                <w:p/>
              </w:tc>
              <w:tc>
                <w:tcPr>
                  <w:tcW w:type="dxa" w:w="1521"/>
                  <w:vMerge/>
                  <w:tcBorders>
                    <w:top w:val="single" w:color="000000" w:sz="4"/>
                    <w:left w:val="none" w:color="000000" w:sz="4"/>
                    <w:bottom w:val="single" w:color="000000" w:sz="4"/>
                    <w:right w:val="single" w:color="000000" w:sz="4"/>
                  </w:tcBorders>
                </w:tcP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新型墙体材料（砖和砌块）</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0.02</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0.6</w:t>
                  </w:r>
                </w:p>
              </w:tc>
              <w:tc>
                <w:tcPr>
                  <w:tcW w:type="dxa" w:w="1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50.85</w:t>
                  </w: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GB/T 13544—2011；GB/T 13545—2014；GB/T 11968-2020；GB/T 25779—2010密度等级、强度等级、孔型孔结构及孔洞率、泛霜、石灰爆裂、抗风化性能、放射性核素限量、孔洞排列及其结构、干密度、抗压强度、干燥收缩、抗冻性、导热系数、孔洞率、最大吸水率、线性干燥收缩率、碳化系数、软化系数</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建筑轻质隔墙条板</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0.05</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4"/>
                  <w:vMerge/>
                  <w:tcBorders>
                    <w:top w:val="none" w:color="000000" w:sz="4"/>
                    <w:left w:val="none" w:color="000000" w:sz="4"/>
                    <w:bottom w:val="single" w:color="000000" w:sz="4"/>
                    <w:right w:val="single" w:color="000000" w:sz="4"/>
                  </w:tcBorders>
                </w:tcP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GB/T 23451-2023；GB/T 23450-2024；GB/T 15762-2020及第一号修改单面密度、抗压强度、抗弯荷载/板自重倍数、抗冲击性能、吊挂力、软化系数、干燥收缩值、放射性核素限量、抗冻性、导热系数、、纵向钢筋保护层、结构性能</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混凝土路面砖</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0.01</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0.2</w:t>
                  </w:r>
                </w:p>
              </w:tc>
              <w:tc>
                <w:tcPr>
                  <w:tcW w:type="dxa" w:w="194"/>
                  <w:vMerge/>
                  <w:tcBorders>
                    <w:top w:val="none" w:color="000000" w:sz="4"/>
                    <w:left w:val="none" w:color="000000" w:sz="4"/>
                    <w:bottom w:val="single" w:color="000000" w:sz="4"/>
                    <w:right w:val="single" w:color="000000" w:sz="4"/>
                  </w:tcBorders>
                </w:tcP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GB/T 28635-2012；GB/T 26001-2010：抗压强度、抗折强度、耐磨性、抗冻性、吸水率、防滑性、饱和系数、泛霜性能、放射性核素限量</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净水器</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0.25</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94"/>
                  <w:vMerge/>
                  <w:tcBorders>
                    <w:top w:val="none" w:color="000000" w:sz="4"/>
                    <w:left w:val="none" w:color="000000" w:sz="4"/>
                    <w:bottom w:val="single" w:color="000000" w:sz="4"/>
                    <w:right w:val="single" w:color="000000" w:sz="4"/>
                  </w:tcBorders>
                </w:tcP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 34914-2021；GB 4706.1-2005：净水机水效等级、总净水量、净水流量、去除率、净水机水效限定值、对触及带电部件的防护，输入功率和电流，发热，工作温度下的泄漏电流和电气强度，耐潮湿，泄漏电流和电气强度，非正常工作（不包括第19.11条试验），稳定性和机械危险，机械强度，结构（不包括第22.46条试验），内部布线，电源连接和外部软线，外部导线用接线端子，接地措施，螺钉和连接，电气间隙、爬电距离和固体绝缘</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智能坐便器</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0.15</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5.25</w:t>
                  </w:r>
                </w:p>
              </w:tc>
              <w:tc>
                <w:tcPr>
                  <w:tcW w:type="dxa" w:w="194"/>
                  <w:vMerge/>
                  <w:tcBorders>
                    <w:top w:val="none" w:color="000000" w:sz="4"/>
                    <w:left w:val="none" w:color="000000" w:sz="4"/>
                    <w:bottom w:val="single" w:color="000000" w:sz="4"/>
                    <w:right w:val="single" w:color="000000" w:sz="4"/>
                  </w:tcBorders>
                </w:tcP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 38448—2019；GB 4706.1—2005；GB 4706.53—2008；GB/T 6952—2015；GB/T 23131—2019；GB/T 34549—2024；JG/T 285—2010单位周期能耗、智能坐便器清洗平均用水量、智能坐便器冲洗平均用水量、双冲智能坐便器冲洗全冲用水量、双冲智能坐便器半冲平均用水量、智能坐便器能效水效限定值、水温特性、喷头自洁、洗净功能、水封回复、污水置换、球排放、颗粒排放、混合介质排放、卫生纸排放、排水管道输送特性、坐圈加热功能、对触及带电部件的防护、输入功率和电流、发热、工作温度下的泄漏电流和电气强度、耐潮湿、泄漏电流和电气强度、非正常工作（不含19.11条款试验）、稳定性和机械危险、机械强度、结构（不含22.46条款）、内部布线、电源连接和外部软线、外部导线用接线端子、接地措施、螺钉和连接、耐热和耐燃、吹风温度、清洗水流量、清洗力、清洗面积、暖风温度、肛门冲洗力、安全水位</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地漏</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0.01</w:t>
                  </w:r>
                </w:p>
              </w:tc>
              <w:tc>
                <w:tcPr>
                  <w:tcW w:type="dxa" w:w="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w:t>
                  </w:r>
                </w:p>
              </w:tc>
              <w:tc>
                <w:tcPr>
                  <w:tcW w:type="dxa" w:w="194"/>
                  <w:vMerge/>
                  <w:tcBorders>
                    <w:top w:val="none" w:color="000000" w:sz="4"/>
                    <w:left w:val="none" w:color="000000" w:sz="4"/>
                    <w:bottom w:val="single" w:color="000000" w:sz="4"/>
                    <w:right w:val="single" w:color="000000" w:sz="4"/>
                  </w:tcBorders>
                </w:tcP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GB/T 27710-2020：安装尺寸、耐腐蚀性能、涂、镀层附着强度、耐清洁剂性能、承载能力、耐压性能、排水流量、自清能力、冷热循环、水封稳定性、密闭性能</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所配备人员充足切专业能力满足采购需求，可保证本项目顺利实施。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所配备人员充足切专业能力满足采购需求，可保证本项目顺利实施。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所配备人员充足切专业能力满足采购需求，可保证本项目顺利实施。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所配备人员充足切专业能力满足采购需求，可保证本项目顺利实施。</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所提供设施设备充足先进，满足检验要求，可保证本项目顺利实施。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所提供设施设备充足先进，满足检验要求，可保证本项目顺利实施。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所提供设施设备充足先进，满足检验要求，可保证本项目顺利实施。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所提供设施设备充足先进，满足检验要求，可保证本项目顺利实施。</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供应商所出具的检验报告满足国家或行业规范执行标准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供应商所出具的检验报告满足国家或行业规范执行标准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供应商所出具的检验报告满足国家或行业规范执行标准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供应商所出具的检验报告满足国家或行业规范执行标准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服务期结束且验收合格后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服务期结束且验收合格后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85.00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服务期结束且验收合格后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85.00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服务期结束且验收合格后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按照合同约定执行，详见合同附件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按照合同约定执行，详见合同附件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按照合同约定执行，详见合同附件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定价招标说明： 1.根据《产品质量监督抽查管理暂行办法》要求，线下抽检需购买检验样品（除不以破坏性试验方式进行检验，并且不会对样品质量造成实质性影响的外），备用样品只封存，不购买；线上抽检检验样品与备用样品都需购买。 2.购样费指线下抽样的检验样品购买费、电商抽样的检验样品和备用样品购买费；抽检等费指抽样过程中发生的车辆保障费及人员旅差费、食宿费，检验费（含检验过程中发生的相关费用），相关文件资料（含检验报告等相关资料文书送达）中国邮政EMS邮寄费以及相关通讯费用，以及其他与抽检工作相关产生的费用。 3.预算经费为购样费与抽检等费用组成。定价招标，指预算经费与购样费平均单价不变的情况下，如抽样批次数增加，购样费则递增，按不超过中标批次核算后的购样费结算。如：A产品预算经费10万元，其中含购样费1万元，购样费单价平均每批次0.01万元不变，能抽样100批次。现某承检机构拟报价抽样200批次，那购样费增加为0.01万元×200批次=2万元，抽检等其他经费则为8万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供应商资质证明文件.docx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供应商资质证明文件.docx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供应商资质证明文件.docx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供应商资质证明文件.docx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情况说明.pdf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1、提供的资格证明文件是否符合国家法律法规和招标文件的要求，并且齐全、真实、有效； 2、投标文件是否按照招标文件要求的格式编写； 3、投标内容是否有重大缺漏项； 4、投标报价是否具有唯一性； 5、投标文件的签署、加盖印章是否合格、有效； 6、投标报价是否未超过采购预算； 7、投标文件是否响应了招标文件要求的全部条款、条件和规格要求，并且提供了支持文件，没有重大偏离。</w:t>
            </w:r>
          </w:p>
        </w:tc>
        <w:tc>
          <w:tcPr>
            <w:tcW w:type="dxa" w:w="1661"/>
          </w:tcPr>
          <w:p>
            <w:pPr>
              <w:pStyle w:val="null3"/>
            </w:pPr>
            <w:r>
              <w:rPr>
                <w:rFonts w:ascii="仿宋_GB2312" w:hAnsi="仿宋_GB2312" w:cs="仿宋_GB2312" w:eastAsia="仿宋_GB2312"/>
              </w:rPr>
              <w:t>投标函 投标文件封面 商务偏离表.docx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情况说明.pdf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1、提供的资格证明文件是否符合国家法律法规和招标文件的要求，并且齐全、真实、有效； 2、投标文件是否按照招标文件要求的格式编写； 3、投标内容是否有重大缺漏项； 4、投标报价是否具有唯一性； 5、投标文件的签署、加盖印章是否合格、有效； 6、投标报价是否未超过采购预算； 7、投标文件是否响应了招标文件要求的全部条款、条件和规格要求，并且提供了支持文件，没有重大偏离。</w:t>
            </w:r>
          </w:p>
        </w:tc>
        <w:tc>
          <w:tcPr>
            <w:tcW w:type="dxa" w:w="1661"/>
          </w:tcPr>
          <w:p>
            <w:pPr>
              <w:pStyle w:val="null3"/>
            </w:pPr>
            <w:r>
              <w:rPr>
                <w:rFonts w:ascii="仿宋_GB2312" w:hAnsi="仿宋_GB2312" w:cs="仿宋_GB2312" w:eastAsia="仿宋_GB2312"/>
              </w:rPr>
              <w:t>投标函 投标文件封面 商务偏离表.docx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情况说明.pdf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1、提供的资格证明文件是否符合国家法律法规和招标文件的要求，并且齐全、真实、有效； 2、投标文件是否按照招标文件要求的格式编写； 3、投标内容是否有重大缺漏项； 4、投标报价是否具有唯一性； 5、投标文件的签署、加盖印章是否合格、有效； 6、投标报价是否未超过采购预算； 7、投标文件是否响应了招标文件要求的全部条款、条件和规格要求，并且提供了支持文件，没有重大偏离。</w:t>
            </w:r>
          </w:p>
        </w:tc>
        <w:tc>
          <w:tcPr>
            <w:tcW w:type="dxa" w:w="1661"/>
          </w:tcPr>
          <w:p>
            <w:pPr>
              <w:pStyle w:val="null3"/>
            </w:pPr>
            <w:r>
              <w:rPr>
                <w:rFonts w:ascii="仿宋_GB2312" w:hAnsi="仿宋_GB2312" w:cs="仿宋_GB2312" w:eastAsia="仿宋_GB2312"/>
              </w:rPr>
              <w:t>投标函 投标文件封面 商务偏离表.docx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情况说明.pdf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1、提供的资格证明文件是否符合国家法律法规和招标文件的要求，并且齐全、真实、有效； 2、投标文件是否按照招标文件要求的格式编写； 3、投标内容是否有重大缺漏项； 4、投标报价是否具有唯一性； 5、投标文件的签署、加盖印章是否合格、有效； 6、投标报价是否未超过采购预算； 7、投标文件是否响应了招标文件要求的全部条款、条件和规格要求，并且提供了支持文件，没有重大偏离。</w:t>
            </w:r>
          </w:p>
        </w:tc>
        <w:tc>
          <w:tcPr>
            <w:tcW w:type="dxa" w:w="1661"/>
          </w:tcPr>
          <w:p>
            <w:pPr>
              <w:pStyle w:val="null3"/>
            </w:pPr>
            <w:r>
              <w:rPr>
                <w:rFonts w:ascii="仿宋_GB2312" w:hAnsi="仿宋_GB2312" w:cs="仿宋_GB2312" w:eastAsia="仿宋_GB2312"/>
              </w:rPr>
              <w:t>投标函 投标文件封面 商务偏离表.docx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抽检批次得分</w:t>
            </w:r>
          </w:p>
        </w:tc>
        <w:tc>
          <w:tcPr>
            <w:tcW w:type="dxa" w:w="2492"/>
          </w:tcPr>
          <w:p>
            <w:pPr>
              <w:pStyle w:val="null3"/>
            </w:pPr>
            <w:r>
              <w:rPr>
                <w:rFonts w:ascii="仿宋_GB2312" w:hAnsi="仿宋_GB2312" w:cs="仿宋_GB2312" w:eastAsia="仿宋_GB2312"/>
              </w:rPr>
              <w:t>总抽检批次得分=品目1总抽检批次得分×25%+品目2总抽检批次得分×25%+品目3总抽检批次得分×25%+品目4总抽检批次得分×25% 品目1抽检批次得分：P=10×Pn/Pmax 品目2抽检批次得分：P=10×Pn/Pmax 品目3抽检批次得分：P=10×Pn/Pmax 品目4抽检批次得分：P=10×Pn/Pmax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体育用品等17种产品质量监督抽查响应表1.xlsx</w:t>
            </w:r>
          </w:p>
          <w:p>
            <w:pPr>
              <w:pStyle w:val="null3"/>
            </w:pPr>
            <w:r>
              <w:rPr>
                <w:rFonts w:ascii="仿宋_GB2312" w:hAnsi="仿宋_GB2312" w:cs="仿宋_GB2312" w:eastAsia="仿宋_GB2312"/>
              </w:rPr>
              <w:t>例表.docx</w:t>
            </w:r>
          </w:p>
          <w:p>
            <w:pPr>
              <w:pStyle w:val="null3"/>
            </w:pPr>
            <w:r>
              <w:rPr>
                <w:rFonts w:ascii="仿宋_GB2312" w:hAnsi="仿宋_GB2312" w:cs="仿宋_GB2312" w:eastAsia="仿宋_GB2312"/>
              </w:rPr>
              <w:t>抽检批次报价及投标包产品抽样检验周期承诺表1.docx</w:t>
            </w:r>
          </w:p>
        </w:tc>
      </w:tr>
      <w:tr>
        <w:tc>
          <w:tcPr>
            <w:tcW w:type="dxa" w:w="831"/>
            <w:vMerge/>
          </w:tcPr>
          <w:p/>
        </w:tc>
        <w:tc>
          <w:tcPr>
            <w:tcW w:type="dxa" w:w="1661"/>
          </w:tcPr>
          <w:p>
            <w:pPr>
              <w:pStyle w:val="null3"/>
            </w:pPr>
            <w:r>
              <w:rPr>
                <w:rFonts w:ascii="仿宋_GB2312" w:hAnsi="仿宋_GB2312" w:cs="仿宋_GB2312" w:eastAsia="仿宋_GB2312"/>
              </w:rPr>
              <w:t>抽样检验周期</w:t>
            </w:r>
          </w:p>
        </w:tc>
        <w:tc>
          <w:tcPr>
            <w:tcW w:type="dxa" w:w="2492"/>
          </w:tcPr>
          <w:p>
            <w:pPr>
              <w:pStyle w:val="null3"/>
            </w:pPr>
            <w:r>
              <w:rPr>
                <w:rFonts w:ascii="仿宋_GB2312" w:hAnsi="仿宋_GB2312" w:cs="仿宋_GB2312" w:eastAsia="仿宋_GB2312"/>
              </w:rPr>
              <w:t>提供承诺并加盖公章的《投标包产品抽样检验周期承诺表》，以该包所有投标人平均抽样检验周期为“基准周期”，与“基准周期”前后相差2个工作日（含）内的，得5分；相差4个工作日（含）内的，得4分；相差6个工作日（含）内的，得3分；相差8个工作日（含）内的，得2分；相差10个工作日（含）内的，得1分；相差11个工作日（含）以上或《投标人产品抽样检验周期承诺表》相关数据不符合投标文件和相关标准要求的得0分。如中标后在实际工作中，每超过《投标包产品抽样检验周期承诺表》中承诺抽样检验周期2天增加1批次抽检产品或扣除中标费0.5%，如超过4天，增加抽检2批次或扣2×0.5%的中标经费，依次累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抽检批次报价及投标包产品抽样检验周期承诺表1.docx</w:t>
            </w:r>
          </w:p>
          <w:p>
            <w:pPr>
              <w:pStyle w:val="null3"/>
            </w:pPr>
            <w:r>
              <w:rPr>
                <w:rFonts w:ascii="仿宋_GB2312" w:hAnsi="仿宋_GB2312" w:cs="仿宋_GB2312" w:eastAsia="仿宋_GB2312"/>
              </w:rPr>
              <w:t>体育用品等17种产品质量监督抽查响应表1.xlsx</w:t>
            </w:r>
          </w:p>
          <w:p>
            <w:pPr>
              <w:pStyle w:val="null3"/>
            </w:pPr>
            <w:r>
              <w:rPr>
                <w:rFonts w:ascii="仿宋_GB2312" w:hAnsi="仿宋_GB2312" w:cs="仿宋_GB2312" w:eastAsia="仿宋_GB2312"/>
              </w:rPr>
              <w:t>例表.docx</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服务实施方案中需要对本项目的机构内部工作部署、抽样、样品接收及核查、检验、配合异议处理及复检的工作内容和安排、检验结果的处理、保密工作、检验结果数据追溯的实施等内容进行合理安排和制定。 打分要点：抽样管理方面（针对该包产品，制定抽样和检验人员分离、抽样人员职责、抽样程序规范、合格样品确认、抽样证据留存、样品封存防拆封措施、样品运输、拒绝及终止抽样问题处理等符合《产品质量监督抽查管理暂行办法》（2019年市场监管总局18号令）第三章规定的抽样管理制度及监督抽查信息系统录入保障制度）、检验管理方面（针对该包产品，制定样品接收程序，接收人员职责，实施认证或许可产品样品生产者确认，实验室检验员、审核员、负责人职责，检验质量控制，检验报告出具程序规定，检验后的样品处置等符合《产品质量监督抽查管理暂行办法》（市场监管总局18号令）第四章规定的检验管理制度）、异议处理方面（本次监督抽查实施检验结果委托送达，针对投标产品，制定检验结果通知书制定、检验结果送达、检验结果快递跟踪、复检备样交接及检验费支付、终止复检情况报告、异议处理及结果报告、抽检信息保密等符合《产品质量监督抽查管理暂行办法》（市场监管总局18号令）第五章规定的管理制度。） （1）机构内部工作部署方案，6分 方案编写贴近该产品实际抽查工作，要素完整，方案合理、可行，完全满足采购需求，得6分； 方案编写贴近该产品实际抽查工作，要素部分缺失，方案存在缺陷，部分满足招标文件要求，得4分； 方案要素不合理、不完整，难以满足招标文件要求的，得2分； 未提供相关内容，得0分。 （2）抽检服务方案，7分 抽检服务方案包括：抽样工作的具体内容及组织安排；样品接收及核查机制；检验工作的具体内容及要求。 方案编写贴近该产品实际抽查工作，要素完整，方案合理、可行，完全满足采购需求，得7分； 方案编写贴近该产品实际抽查工作，要素基本完整，存在缺陷，部分满足招标文件要求，得5分； 方案未响应、不完整，难以满足招标文件要求的，得3分； 未提供相关内容，得0分。 （3）后期工作方案，6分 后期工作方案包括：配合异议处理及复检的工作内容和安排；检验结果的处理。 方案编写贴近该产品实际抽查工作，要素完整，方案合理、可行，完全满足采购需求，得6分； 方案编写贴近该产品实际抽查工作，要素基本完整，存在缺陷，部分满足招标文件要求，得4分； 方案未响应、不完整，难以满足招标文件要求的，2分。 未提供相关内容，得0分。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能力建设</w:t>
            </w:r>
          </w:p>
        </w:tc>
        <w:tc>
          <w:tcPr>
            <w:tcW w:type="dxa" w:w="2492"/>
          </w:tcPr>
          <w:p>
            <w:pPr>
              <w:pStyle w:val="null3"/>
            </w:pPr>
            <w:r>
              <w:rPr>
                <w:rFonts w:ascii="仿宋_GB2312" w:hAnsi="仿宋_GB2312" w:cs="仿宋_GB2312" w:eastAsia="仿宋_GB2312"/>
              </w:rPr>
              <w:t>一、1.取得《中国合格评定国家认可委员会实验室认可证书》（CNAS）提供有效的认可证书复印件，并附官网查询截图（https://www.cnas.org.cn/）； 2.2023年1月至今单位或单位工作人员(须提供聘任、任用证明材料)参加国家标准、行业标准、地方标准制定，提供已发布的标准文本扫描件(加盖单位公章)，或能提供证明投标单位在本标准文件起草单位名单之列或投标单位工作人员在本标准文件起草人名单之列； 3.2024年1月至今单位或单位工作人员(须提供聘任、任用证明材料)参与国家、省、市各级科研计划项目，提供科研项目任务书(合同书)，或能提供证明投标单位或投标单位工作人员参与相关科研计划项目佐证材料的。CNAS、标准、科研三个项目，满足其中二项的得5分，满足其中一项的得3分。 二、提供检验项目比对表。具备所投产品的全部检验检测能力，供应商提供的有效资质认定证书（CMA）及附表扫描件，对相应检验项目、检验依据做好明显标记。具备所投包含产品所有全部检验检测能力的，得10分，有缺项的，按品目计算每涉及一品目产品扣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人员配备数量</w:t>
            </w:r>
          </w:p>
        </w:tc>
        <w:tc>
          <w:tcPr>
            <w:tcW w:type="dxa" w:w="2492"/>
          </w:tcPr>
          <w:p>
            <w:pPr>
              <w:pStyle w:val="null3"/>
            </w:pPr>
            <w:r>
              <w:rPr>
                <w:rFonts w:ascii="仿宋_GB2312" w:hAnsi="仿宋_GB2312" w:cs="仿宋_GB2312" w:eastAsia="仿宋_GB2312"/>
              </w:rPr>
              <w:t>提供职称证、人员身份证以及2025年至今任意三个月养老证明等证明材料。 根据供应商拟投入本项目的人员数量及相关行业职称水平赋分 1.检验人员，6分 具有工业产品质量监督抽查相关专业的中级（含）以上职称检验人员或具有10年（含）以上产品检验工作经历的人员数量≥8人，得6分； 具有工业产品质量监督抽查相关专业的中级（含）以上职称检验人员或具有10年（含）以上产品检验工作经历的人员数量介于4（含）人-7（含）人之间的，得3分； 其余得0分。 2.抽样人员，6分 抽样人员数量≥6人，得6分； 抽样人员数量介于4（含）人-6（不含）人之间的得3分； 其余得0分。 （检验人员需提供劳动合同、参保证明材料、职称证书或10年（含）以上产品检验证明材料等相关证明材料；抽样人员需提供劳动合同、参保证明材料） 二、提供人员职称证书证书和任用证明等证明材料。 项目负责人 该包产品的抽检工作项目负责人（即投标委托人同时负责该产品中标后服务），具有10年（含）以上检验工作经历和副高级职称，得3分；具有10年（含）以上检验工作经历或副高级职称，得2分；否则得0分。 （项目负责人需提供劳动合同、参保证明材料、职称证书、10年（含）以上检验工作经历证明材料）</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项目实验室场所和设备配置</w:t>
            </w:r>
          </w:p>
        </w:tc>
        <w:tc>
          <w:tcPr>
            <w:tcW w:type="dxa" w:w="2492"/>
          </w:tcPr>
          <w:p>
            <w:pPr>
              <w:pStyle w:val="null3"/>
            </w:pPr>
            <w:r>
              <w:rPr>
                <w:rFonts w:ascii="仿宋_GB2312" w:hAnsi="仿宋_GB2312" w:cs="仿宋_GB2312" w:eastAsia="仿宋_GB2312"/>
              </w:rPr>
              <w:t>一、有满足投标包内同类产品检测实验室、产品项目检验室。提供该包产品《实验室情况介绍》《产品项目实验室场所表》、厂房所有权证（复印件）或房屋租赁合同材料，产品项目检验需求全部满足，佐证材料齐全并承诺真实的得3分，否则得0分。 二、提供《拟投入本项目的主要设备配置表》，并提供现场照片、采购发票（或能证明设备为自主拥有的其他有效单据）等佐证材料；具备所投包含产品所有全部检验检测能力及配置设备无缺失的，得8分，有缺失的或无法提供佐证材料的，按品目计算每涉及一品目产品扣2分，扣完为止。</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产品质量分析及应急保障</w:t>
            </w:r>
          </w:p>
        </w:tc>
        <w:tc>
          <w:tcPr>
            <w:tcW w:type="dxa" w:w="2492"/>
          </w:tcPr>
          <w:p>
            <w:pPr>
              <w:pStyle w:val="null3"/>
            </w:pPr>
            <w:r>
              <w:rPr>
                <w:rFonts w:ascii="仿宋_GB2312" w:hAnsi="仿宋_GB2312" w:cs="仿宋_GB2312" w:eastAsia="仿宋_GB2312"/>
              </w:rPr>
              <w:t>产业总体情况及质量现状分析方案，5分 产业总体情况及质量现状分析材料（方案中需要对全国及陕西产业分布情况、产业现状、产品的质量现状、应用前景和发展趋势进行分析）： 分析方案完整，具有针对性，具备上述要求的全部内容，得5分； 分析方案基本符合采购要求，但细节有待完善，得4分； 分析方案不够具体，得2分； 分析方案不合理，得1分； 未响应或未提供，得0分。 二、应急保障，4分 重点难点分析及应对措施，应急预案和紧急事件处置措施（涉及因素：人员、时间、距离、地域市场熟悉度）： 重难点理解到位、应对措施合理可行，应急预案详细完整、处置措施针对性强得4分； 重难点理解基本到位、应对措施较为合理可行，应急预案较为详细得2分； 重难点理解及应对措施不合理，应急预案不详细得1分。 未响应或未提供，得0分。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服务责任承诺</w:t>
            </w:r>
          </w:p>
        </w:tc>
        <w:tc>
          <w:tcPr>
            <w:tcW w:type="dxa" w:w="2492"/>
          </w:tcPr>
          <w:p>
            <w:pPr>
              <w:pStyle w:val="null3"/>
            </w:pPr>
            <w:r>
              <w:rPr>
                <w:rFonts w:ascii="仿宋_GB2312" w:hAnsi="仿宋_GB2312" w:cs="仿宋_GB2312" w:eastAsia="仿宋_GB2312"/>
              </w:rPr>
              <w:t>（1）承诺：中标后我单位将在合同履约期限内随时服从采购人产品质量监督抽查工作部署，优先实施中标产品质量监督抽查服务，并按采购人规定时限和抽样产品品牌规格价格要求不折不扣地完成中标数量（批次）抽样检验服务工作； （2） 承诺：中标后能达到监督抽查抽样、检验全过程可视化；自行准备录像设备、笔记本（平板）电脑、便携彩色打印机、包装缠绕膜、宽胶带等抽样所需的相关设备材料，确定一名人员，熟悉《陕西省市场监督管理局产品质量监督抽查工作手册》和抽查流程,督促承检工作和保障抽查系统信息正常运行。 （3）承诺：运用陕西省市场监督管理局产品质量监督信息系统，按照《中华人民共和国产品质量法》《产品质量监督抽查管理暂行办法》《产品质量监督抽查委托协议》《产品质量监督抽查的通知》要求完成各项工作。 （4）承诺：中标后在投标文件中所承诺的事宜未兑现，采购人在认定我单位失信行为后,有权解除所签订的技术服务协议，解除协议之前中所产生的费用采购人不予支付，由我单位自行承担。 须有以上4项独立的符合要求的加盖公章的服务承诺书。每提供１项的得1分，共4分。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业务能力与业绩状况</w:t>
            </w:r>
          </w:p>
        </w:tc>
        <w:tc>
          <w:tcPr>
            <w:tcW w:type="dxa" w:w="2492"/>
          </w:tcPr>
          <w:p>
            <w:pPr>
              <w:pStyle w:val="null3"/>
            </w:pPr>
            <w:r>
              <w:rPr>
                <w:rFonts w:ascii="仿宋_GB2312" w:hAnsi="仿宋_GB2312" w:cs="仿宋_GB2312" w:eastAsia="仿宋_GB2312"/>
              </w:rPr>
              <w:t>一、对各品目产品主要检验项目如质量不合格可能引发的情况进行描述。 提供１个品目产品的描述的得1分，总分不超过4分。 二、供应商提供2024年1月至今类似抽检品目业绩（1.承担市级及以上认证部门有效性抽查、2.承担市级及以上质量监督部门的质量监督抽查或风险监测，以完整合同（协议）或委托书复印件加盖公章及签订时间为准。每提供1份得2分（同一品目可累积得分），最多8分；未提供相关内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抽检批次得分</w:t>
            </w:r>
          </w:p>
        </w:tc>
        <w:tc>
          <w:tcPr>
            <w:tcW w:type="dxa" w:w="2492"/>
          </w:tcPr>
          <w:p>
            <w:pPr>
              <w:pStyle w:val="null3"/>
            </w:pPr>
            <w:r>
              <w:rPr>
                <w:rFonts w:ascii="仿宋_GB2312" w:hAnsi="仿宋_GB2312" w:cs="仿宋_GB2312" w:eastAsia="仿宋_GB2312"/>
              </w:rPr>
              <w:t>总抽检批次得分=品目1总抽检批次得分×25%+品目2总抽检批次得分×25%+品目3总抽检批次得分×25%+品目4总抽检批次得分×25% 品目1抽检批次得分：P=10×Pn/Pmax 品目2抽检批次得分：P=10×Pn/Pmax 品目3抽检批次得分：P=10×Pn/Pmax 品目4抽检批次得分：P=10×Pn/Pmax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例表.docx</w:t>
            </w:r>
          </w:p>
          <w:p>
            <w:pPr>
              <w:pStyle w:val="null3"/>
            </w:pPr>
            <w:r>
              <w:rPr>
                <w:rFonts w:ascii="仿宋_GB2312" w:hAnsi="仿宋_GB2312" w:cs="仿宋_GB2312" w:eastAsia="仿宋_GB2312"/>
              </w:rPr>
              <w:t>抽检批次报价及投标包产品抽样检验周期承诺表2.docx</w:t>
            </w:r>
          </w:p>
          <w:p>
            <w:pPr>
              <w:pStyle w:val="null3"/>
            </w:pPr>
            <w:r>
              <w:rPr>
                <w:rFonts w:ascii="仿宋_GB2312" w:hAnsi="仿宋_GB2312" w:cs="仿宋_GB2312" w:eastAsia="仿宋_GB2312"/>
              </w:rPr>
              <w:t>体育用品等17种产品质量监督抽查响应表2.xlsx</w:t>
            </w:r>
          </w:p>
        </w:tc>
      </w:tr>
      <w:tr>
        <w:tc>
          <w:tcPr>
            <w:tcW w:type="dxa" w:w="831"/>
            <w:vMerge/>
          </w:tcPr>
          <w:p/>
        </w:tc>
        <w:tc>
          <w:tcPr>
            <w:tcW w:type="dxa" w:w="1661"/>
          </w:tcPr>
          <w:p>
            <w:pPr>
              <w:pStyle w:val="null3"/>
            </w:pPr>
            <w:r>
              <w:rPr>
                <w:rFonts w:ascii="仿宋_GB2312" w:hAnsi="仿宋_GB2312" w:cs="仿宋_GB2312" w:eastAsia="仿宋_GB2312"/>
              </w:rPr>
              <w:t>抽样检验周期</w:t>
            </w:r>
          </w:p>
        </w:tc>
        <w:tc>
          <w:tcPr>
            <w:tcW w:type="dxa" w:w="2492"/>
          </w:tcPr>
          <w:p>
            <w:pPr>
              <w:pStyle w:val="null3"/>
            </w:pPr>
            <w:r>
              <w:rPr>
                <w:rFonts w:ascii="仿宋_GB2312" w:hAnsi="仿宋_GB2312" w:cs="仿宋_GB2312" w:eastAsia="仿宋_GB2312"/>
              </w:rPr>
              <w:t>提供承诺并加盖公章的《投标包产品抽样检验周期承诺表》，以该包所有投标人平均抽样检验周期为“基准周期”，与“基准周期”前后相差2个工作日（含）内的，得5分；相差4个工作日（含）内的，得4分；相差6个工作日（含）内的，得3分；相差8个工作日（含）内的，得2分；相差10个工作日（含）内的，得1分；相差11个工作日（含）以上或《投标人产品抽样检验周期承诺表》相关数据不符合投标文件和相关标准要求的得0分。如中标后在实际工作中，每超过《投标包产品抽样检验周期承诺表》中承诺抽样检验周期2天增加1批次抽检产品或扣除中标费0.5%，如超过4天，增加抽检2批次或扣2×0.5%的中标经费，依次累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体育用品等17种产品质量监督抽查响应表2.xlsx</w:t>
            </w:r>
          </w:p>
          <w:p>
            <w:pPr>
              <w:pStyle w:val="null3"/>
            </w:pPr>
            <w:r>
              <w:rPr>
                <w:rFonts w:ascii="仿宋_GB2312" w:hAnsi="仿宋_GB2312" w:cs="仿宋_GB2312" w:eastAsia="仿宋_GB2312"/>
              </w:rPr>
              <w:t>例表.docx</w:t>
            </w:r>
          </w:p>
          <w:p>
            <w:pPr>
              <w:pStyle w:val="null3"/>
            </w:pPr>
            <w:r>
              <w:rPr>
                <w:rFonts w:ascii="仿宋_GB2312" w:hAnsi="仿宋_GB2312" w:cs="仿宋_GB2312" w:eastAsia="仿宋_GB2312"/>
              </w:rPr>
              <w:t>抽检批次报价及投标包产品抽样检验周期承诺表2.docx</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服务实施方案中需要对本项目的机构内部工作部署、抽样、样品接收及核查、检验、配合异议处理及复检的工作内容和安排、检验结果的处理、保密工作、检验结果数据追溯的实施等内容进行合理安排和制定。 打分要点：抽样管理方面（针对该包产品，制定抽样和检验人员分离、抽样人员职责、抽样程序规范、合格样品确认、抽样证据留存、样品封存防拆封措施、样品运输、拒绝及终止抽样问题处理等符合《产品质量监督抽查管理暂行办法》（2019年市场监管总局18号令）第三章规定的抽样管理制度及监督抽查信息系统录入保障制度）、检验管理方面（针对该包产品，制定样品接收程序，接收人员职责，实施认证或许可产品样品生产者确认，实验室检验员、审核员、负责人职责，检验质量控制，检验报告出具程序规定，检验后的样品处置等符合《产品质量监督抽查管理暂行办法》（市场监管总局18号令）第四章规定的检验管理制度）、异议处理方面（本次监督抽查实施检验结果委托送达，针对投标产品，制定检验结果通知书制定、检验结果送达、检验结果快递跟踪、复检备样交接及检验费支付、终止复检情况报告、异议处理及结果报告、抽检信息保密等符合《产品质量监督抽查管理暂行办法》（市场监管总局18号令）第五章规定的管理制度。） （1）机构内部工作部署方案，6分 方案编写贴近该产品实际抽查工作，要素完整，方案合理、可行，完全满足采购需求，得6分； 方案编写贴近该产品实际抽查工作，要素部分缺失，方案存在缺陷，部分满足招标文件要求，得4分； 方案要素不合理、不完整，难以满足招标文件要求的，得2分； 未提供相关内容，得0分。 （2）抽检服务方案，7分 抽检服务方案包括：抽样工作的具体内容及组织安排；样品接收及核查机制；检验工作的具体内容及要求。 方案编写贴近该产品实际抽查工作，要素完整，方案合理、可行，完全满足采购需求，得7分； 方案编写贴近该产品实际抽查工作，要素基本完整，存在缺陷，部分满足招标文件要求，得5分； 方案未响应、不完整，难以满足招标文件要求的，得3分； 未提供相关内容，得0分。 （3）后期工作方案，6分 后期工作方案包括：配合异议处理及复检的工作内容和安排；检验结果的处理。 方案编写贴近该产品实际抽查工作，要素完整，方案合理、可行，完全满足采购需求，得6分； 方案编写贴近该产品实际抽查工作，要素基本完整，存在缺陷，部分满足招标文件要求，得4分； 方案未响应、不完整，难以满足招标文件要求的，2分。 未提供相关内容，得0分。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能力建设</w:t>
            </w:r>
          </w:p>
        </w:tc>
        <w:tc>
          <w:tcPr>
            <w:tcW w:type="dxa" w:w="2492"/>
          </w:tcPr>
          <w:p>
            <w:pPr>
              <w:pStyle w:val="null3"/>
            </w:pPr>
            <w:r>
              <w:rPr>
                <w:rFonts w:ascii="仿宋_GB2312" w:hAnsi="仿宋_GB2312" w:cs="仿宋_GB2312" w:eastAsia="仿宋_GB2312"/>
              </w:rPr>
              <w:t>一、1.取得《中国合格评定国家认可委员会实验室认可证书》（CNAS）提供有效的认可证书复印件，并附官网查询截图（https://www.cnas.org.cn/）； 2.2023年1月至今单位或单位工作人员(须提供聘任、任用证明材料)参加国家标准、行业标准、地方标准制定，提供已发布的标准文本扫描件(加盖单位公章)，或能提供证明投标单位在本标准文件起草单位名单之列或投标单位工作人员在本标准文件起草人名单之列； 3.2024年1月至今单位或单位工作人员(须提供聘任、任用证明材料)参与国家、省、市各级科研计划项目，提供科研项目任务书(合同书)，或能提供证明投标单位或投标单位工作人员参与相关科研计划项目佐证材料的。CNAS、标准、科研三个项目，满足其中二项的得5分，满足其中一项的得3分。 二、提供检验项目比对表。具备所投产品的全部检验检测能力，供应商提供的有效资质认定证书（CMA）及附表扫描件，对相应检验项目、检验依据做好明显标记。具备所投包含产品所有全部检验检测能力的，得10分，有缺项的，按品目计算每涉及一品目产品扣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人员配备数量</w:t>
            </w:r>
          </w:p>
        </w:tc>
        <w:tc>
          <w:tcPr>
            <w:tcW w:type="dxa" w:w="2492"/>
          </w:tcPr>
          <w:p>
            <w:pPr>
              <w:pStyle w:val="null3"/>
            </w:pPr>
            <w:r>
              <w:rPr>
                <w:rFonts w:ascii="仿宋_GB2312" w:hAnsi="仿宋_GB2312" w:cs="仿宋_GB2312" w:eastAsia="仿宋_GB2312"/>
              </w:rPr>
              <w:t>提供职称证、人员身份证以及2025年至今任意三个月养老证明等证明材料。 根据供应商拟投入本项目的人员数量及相关行业职称水平赋分 1.检验人员，6分 具有工业产品质量监督抽查相关专业的中级（含）以上职称检验人员或具有10年（含）以上产品检验工作经历的人员数量≥8人，得6分； 具有工业产品质量监督抽查相关专业的中级（含）以上职称检验人员或具有10年（含）以上产品检验工作经历的人员数量介于4（含）人-7（含）人之间的，得3分； 其余得0分。 2.抽样人员，6分 抽样人员数量≥6人，得6分； 抽样人员数量介于4（含）人-6（不含）人之间的得3分； 其余得0分。 （检验人员需提供劳动合同、参保证明材料、职称证书或10年（含）以上产品检验证明材料等相关证明材料；抽样人员需提供劳动合同、参保证明材料） 二、提供人员职称证书证书和任用证明等证明材料。 项目负责人 该包产品的抽检工作项目负责人（即投标委托人同时负责该产品中标后服务），具有10年（含）以上检验工作经历和副高级职称，得3分；具有10年（含）以上检验工作经历或副高级职称，得2分；否则得0分。 （项目负责人需提供劳动合同、参保证明材料、职称证书、10年（含）以上检验工作经历证明材料）</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项目实验室场所和设备配置</w:t>
            </w:r>
          </w:p>
        </w:tc>
        <w:tc>
          <w:tcPr>
            <w:tcW w:type="dxa" w:w="2492"/>
          </w:tcPr>
          <w:p>
            <w:pPr>
              <w:pStyle w:val="null3"/>
            </w:pPr>
            <w:r>
              <w:rPr>
                <w:rFonts w:ascii="仿宋_GB2312" w:hAnsi="仿宋_GB2312" w:cs="仿宋_GB2312" w:eastAsia="仿宋_GB2312"/>
              </w:rPr>
              <w:t>一、有满足投标包内同类产品检测实验室、产品项目检验室。提供该包产品《实验室情况介绍》《产品项目实验室场所表》、厂房所有权证（复印件）或房屋租赁合同材料，产品项目检验需求全部满足，佐证材料齐全并承诺真实的得3分，否则得0分。 二、提供《拟投入本项目的主要设备配置表》，并提供现场照片、采购发票（或能证明设备为自主拥有的其他有效单据）等佐证材料；具备所投包含产品所有全部检验检测能力及配置设备无缺失的，得8分，有缺失的或无法提供佐证材料的，按品目计算每涉及一品目产品扣2分，扣完为止。</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产品质量分析及应急保障</w:t>
            </w:r>
          </w:p>
        </w:tc>
        <w:tc>
          <w:tcPr>
            <w:tcW w:type="dxa" w:w="2492"/>
          </w:tcPr>
          <w:p>
            <w:pPr>
              <w:pStyle w:val="null3"/>
            </w:pPr>
            <w:r>
              <w:rPr>
                <w:rFonts w:ascii="仿宋_GB2312" w:hAnsi="仿宋_GB2312" w:cs="仿宋_GB2312" w:eastAsia="仿宋_GB2312"/>
              </w:rPr>
              <w:t>产业总体情况及质量现状分析方案，5分 产业总体情况及质量现状分析材料（方案中需要对全国及陕西产业分布情况、产业现状、产品的质量现状、应用前景和发展趋势进行分析）： 分析方案完整，具有针对性，具备上述要求的全部内容，得5分； 分析方案基本符合采购要求，但细节有待完善，得4分； 分析方案不够具体，得2分； 分析方案不合理，得1分； 未响应或未提供，得0分。 二、应急保障，4分 重点难点分析及应对措施，应急预案和紧急事件处置措施（涉及因素：人员、时间、距离、地域市场熟悉度）： 重难点理解到位、应对措施合理可行，应急预案详细完整、处置措施针对性强得4分； 重难点理解基本到位、应对措施较为合理可行，应急预案较为详细得2分； 重难点理解及应对措施不合理，应急预案不详细得1分。 未响应或未提供，得0分。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服务责任承诺</w:t>
            </w:r>
          </w:p>
        </w:tc>
        <w:tc>
          <w:tcPr>
            <w:tcW w:type="dxa" w:w="2492"/>
          </w:tcPr>
          <w:p>
            <w:pPr>
              <w:pStyle w:val="null3"/>
            </w:pPr>
            <w:r>
              <w:rPr>
                <w:rFonts w:ascii="仿宋_GB2312" w:hAnsi="仿宋_GB2312" w:cs="仿宋_GB2312" w:eastAsia="仿宋_GB2312"/>
              </w:rPr>
              <w:t>（1）承诺：中标后我单位将在合同履约期限内随时服从采购人产品质量监督抽查工作部署，优先实施中标产品质量监督抽查服务，并按采购人规定时限和抽样产品品牌规格价格要求不折不扣地完成中标数量（批次）抽样检验服务工作； （2） 承诺：中标后能达到监督抽查抽样、检验全过程可视化；自行准备录像设备、笔记本（平板）电脑、便携彩色打印机、包装缠绕膜、宽胶带等抽样所需的相关设备材料，确定一名人员，熟悉《陕西省市场监督管理局产品质量监督抽查工作手册》和抽查流程,督促承检工作和保障抽查系统信息正常运行。 （3）承诺：运用陕西省市场监督管理局产品质量监督信息系统，按照《中华人民共和国产品质量法》《产品质量监督抽查管理暂行办法》《产品质量监督抽查委托协议》《产品质量监督抽查的通知》要求完成各项工作。 （4）承诺：中标后在投标文件中所承诺的事宜未兑现，采购人在认定我单位失信行为后,有权解除所签订的技术服务协议，解除协议之前中所产生的费用采购人不予支付，由我单位自行承担。 须有以上4项独立的符合要求的加盖公章的服务承诺书。每提供１项的得1分，共4分。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业务能力与业绩状况</w:t>
            </w:r>
          </w:p>
        </w:tc>
        <w:tc>
          <w:tcPr>
            <w:tcW w:type="dxa" w:w="2492"/>
          </w:tcPr>
          <w:p>
            <w:pPr>
              <w:pStyle w:val="null3"/>
            </w:pPr>
            <w:r>
              <w:rPr>
                <w:rFonts w:ascii="仿宋_GB2312" w:hAnsi="仿宋_GB2312" w:cs="仿宋_GB2312" w:eastAsia="仿宋_GB2312"/>
              </w:rPr>
              <w:t>一、对各品目产品主要检验项目如质量不合格可能引发的情况进行描述。 提供１个品目产品的描述的得1分，总分不超过4分。 二、供应商提供2024年1月至今类似抽检品目业绩（1.承担市级及以上认证部门有效性抽查、2.承担市级及以上质量监督部门的质量监督抽查或风险监测，以完整合同（协议）或委托书复印件加盖公章及签订时间为准。每提供1份得2分（同一品目可累积得分），最多8分；未提供相关内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抽检批次得分</w:t>
            </w:r>
          </w:p>
        </w:tc>
        <w:tc>
          <w:tcPr>
            <w:tcW w:type="dxa" w:w="2492"/>
          </w:tcPr>
          <w:p>
            <w:pPr>
              <w:pStyle w:val="null3"/>
            </w:pPr>
            <w:r>
              <w:rPr>
                <w:rFonts w:ascii="仿宋_GB2312" w:hAnsi="仿宋_GB2312" w:cs="仿宋_GB2312" w:eastAsia="仿宋_GB2312"/>
              </w:rPr>
              <w:t>总抽检批次得分=品目1总抽检批次得分×30%+品目2总抽检批次得分×30%+品目3总抽检批次得分×40% 品目1抽检批次得分：P=10×Pn/Pmax 品目2抽检批次得分：P=10×Pn/Pmax 品目3抽检批次得分：P=10×Pn/Pmax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例表.docx</w:t>
            </w:r>
          </w:p>
          <w:p>
            <w:pPr>
              <w:pStyle w:val="null3"/>
            </w:pPr>
            <w:r>
              <w:rPr>
                <w:rFonts w:ascii="仿宋_GB2312" w:hAnsi="仿宋_GB2312" w:cs="仿宋_GB2312" w:eastAsia="仿宋_GB2312"/>
              </w:rPr>
              <w:t>体育用品等17种产品质量监督抽查响应表3.xlsx</w:t>
            </w:r>
          </w:p>
          <w:p>
            <w:pPr>
              <w:pStyle w:val="null3"/>
            </w:pPr>
            <w:r>
              <w:rPr>
                <w:rFonts w:ascii="仿宋_GB2312" w:hAnsi="仿宋_GB2312" w:cs="仿宋_GB2312" w:eastAsia="仿宋_GB2312"/>
              </w:rPr>
              <w:t>抽检批次报价及投标包产品抽样检验周期承诺表3.docx</w:t>
            </w:r>
          </w:p>
        </w:tc>
      </w:tr>
      <w:tr>
        <w:tc>
          <w:tcPr>
            <w:tcW w:type="dxa" w:w="831"/>
            <w:vMerge/>
          </w:tcPr>
          <w:p/>
        </w:tc>
        <w:tc>
          <w:tcPr>
            <w:tcW w:type="dxa" w:w="1661"/>
          </w:tcPr>
          <w:p>
            <w:pPr>
              <w:pStyle w:val="null3"/>
            </w:pPr>
            <w:r>
              <w:rPr>
                <w:rFonts w:ascii="仿宋_GB2312" w:hAnsi="仿宋_GB2312" w:cs="仿宋_GB2312" w:eastAsia="仿宋_GB2312"/>
              </w:rPr>
              <w:t>抽样检验周期</w:t>
            </w:r>
          </w:p>
        </w:tc>
        <w:tc>
          <w:tcPr>
            <w:tcW w:type="dxa" w:w="2492"/>
          </w:tcPr>
          <w:p>
            <w:pPr>
              <w:pStyle w:val="null3"/>
            </w:pPr>
            <w:r>
              <w:rPr>
                <w:rFonts w:ascii="仿宋_GB2312" w:hAnsi="仿宋_GB2312" w:cs="仿宋_GB2312" w:eastAsia="仿宋_GB2312"/>
              </w:rPr>
              <w:t>提供承诺并加盖公章的《投标包产品抽样检验周期承诺表》，以该包所有投标人平均抽样检验周期为“基准周期”，与“基准周期”前后相差2个工作日（含）内的，得5分；相差4个工作日（含）内的，得4分；相差6个工作日（含）内的，得3分；相差8个工作日（含）内的，得2分；相差10个工作日（含）内的，得1分；相差11个工作日（含）以上或《投标人产品抽样检验周期承诺表》相关数据不符合投标文件和相关标准要求的得0分。如中标后在实际工作中，每超过《投标包产品抽样检验周期承诺表》中承诺抽样检验周期2天增加1批次抽检产品或扣除中标费0.5%，如超过4天，增加抽检2批次或扣2×0.5%的中标经费，依次累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例表.docx</w:t>
            </w:r>
          </w:p>
          <w:p>
            <w:pPr>
              <w:pStyle w:val="null3"/>
            </w:pPr>
            <w:r>
              <w:rPr>
                <w:rFonts w:ascii="仿宋_GB2312" w:hAnsi="仿宋_GB2312" w:cs="仿宋_GB2312" w:eastAsia="仿宋_GB2312"/>
              </w:rPr>
              <w:t>抽检批次报价及投标包产品抽样检验周期承诺表3.docx</w:t>
            </w:r>
          </w:p>
          <w:p>
            <w:pPr>
              <w:pStyle w:val="null3"/>
            </w:pPr>
            <w:r>
              <w:rPr>
                <w:rFonts w:ascii="仿宋_GB2312" w:hAnsi="仿宋_GB2312" w:cs="仿宋_GB2312" w:eastAsia="仿宋_GB2312"/>
              </w:rPr>
              <w:t>体育用品等17种产品质量监督抽查响应表3.xlsx</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服务实施方案中需要对本项目的机构内部工作部署、抽样、样品接收及核查、检验、配合异议处理及复检的工作内容和安排、检验结果的处理、保密工作、检验结果数据追溯的实施等内容进行合理安排和制定。 打分要点：抽样管理方面（针对该包产品，制定抽样和检验人员分离、抽样人员职责、抽样程序规范、合格样品确认、抽样证据留存、样品封存防拆封措施、样品运输、拒绝及终止抽样问题处理等符合《产品质量监督抽查管理暂行办法》（2019年市场监管总局18号令）第三章规定的抽样管理制度及监督抽查信息系统录入保障制度）、检验管理方面（针对该包产品，制定样品接收程序，接收人员职责，实施认证或许可产品样品生产者确认，实验室检验员、审核员、负责人职责，检验质量控制，检验报告出具程序规定，检验后的样品处置等符合《产品质量监督抽查管理暂行办法》（市场监管总局18号令）第四章规定的检验管理制度）、异议处理方面（本次监督抽查实施检验结果委托送达，针对投标产品，制定检验结果通知书制定、检验结果送达、检验结果快递跟踪、复检备样交接及检验费支付、终止复检情况报告、异议处理及结果报告、抽检信息保密等符合《产品质量监督抽查管理暂行办法》（市场监管总局18号令）第五章规定的管理制度。） （1）机构内部工作部署方案，6分 方案编写贴近该产品实际抽查工作，要素完整，方案合理、可行，完全满足采购需求，得6分； 方案编写贴近该产品实际抽查工作，要素部分缺失，方案存在缺陷，部分满足招标文件要求，得4分； 方案要素不合理、不完整，难以满足招标文件要求的，得2分； 未提供相关内容，得0分。 （2）抽检服务方案，7分 抽检服务方案包括：抽样工作的具体内容及组织安排；样品接收及核查机制；检验工作的具体内容及要求。 方案编写贴近该产品实际抽查工作，要素完整，方案合理、可行，完全满足采购需求，得7分； 方案编写贴近该产品实际抽查工作，要素基本完整，存在缺陷，部分满足招标文件要求，得5分； 方案未响应、不完整，难以满足招标文件要求的，得3分； 未提供相关内容，得0分。 （3）后期工作方案，6分 后期工作方案包括：配合异议处理及复检的工作内容和安排；检验结果的处理。 方案编写贴近该产品实际抽查工作，要素完整，方案合理、可行，完全满足采购需求，得6分； 方案编写贴近该产品实际抽查工作，要素基本完整，存在缺陷，部分满足招标文件要求，得4分； 方案未响应、不完整，难以满足招标文件要求的，2分。 未提供相关内容，得0分。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能力建设</w:t>
            </w:r>
          </w:p>
        </w:tc>
        <w:tc>
          <w:tcPr>
            <w:tcW w:type="dxa" w:w="2492"/>
          </w:tcPr>
          <w:p>
            <w:pPr>
              <w:pStyle w:val="null3"/>
            </w:pPr>
            <w:r>
              <w:rPr>
                <w:rFonts w:ascii="仿宋_GB2312" w:hAnsi="仿宋_GB2312" w:cs="仿宋_GB2312" w:eastAsia="仿宋_GB2312"/>
              </w:rPr>
              <w:t>一、1.取得《中国合格评定国家认可委员会实验室认可证书》（CNAS）提供有效的认可证书复印件，并附官网查询截图（https://www.cnas.org.cn/）； 2.2023年1月至今单位或单位工作人员(须提供聘任、任用证明材料)参加国家标准、行业标准、地方标准制定，提供已发布的标准文本扫描件(加盖单位公章)，或能提供证明投标单位在本标准文件起草单位名单之列或投标单位工作人员在本标准文件起草人名单之列； 3.2024年1月至今单位或单位工作人员(须提供聘任、任用证明材料)参与国家、省、市各级科研计划项目，提供科研项目任务书(合同书)，或能提供证明投标单位或投标单位工作人员参与相关科研计划项目佐证材料的。CNAS、标准、科研三个项目，满足其中二项的得5分，满足其中一项的得3分。 二、提供检验项目比对表。具备所投产品的全部检验检测能力，供应商提供的有效资质认定证书（CMA）及附表扫描件，对相应检验项目、检验依据做好明显标记。具备所投包含产品所有全部检验检测能力的，得10分，有缺项的，按品目计算每涉及一品目产品扣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人员配备数量</w:t>
            </w:r>
          </w:p>
        </w:tc>
        <w:tc>
          <w:tcPr>
            <w:tcW w:type="dxa" w:w="2492"/>
          </w:tcPr>
          <w:p>
            <w:pPr>
              <w:pStyle w:val="null3"/>
            </w:pPr>
            <w:r>
              <w:rPr>
                <w:rFonts w:ascii="仿宋_GB2312" w:hAnsi="仿宋_GB2312" w:cs="仿宋_GB2312" w:eastAsia="仿宋_GB2312"/>
              </w:rPr>
              <w:t>提供职称证、人员身份证以及2025年至今任意三个月养老证明等证明材料。 根据供应商拟投入本项目的人员数量及相关行业职称水平赋分 1.检验人员，6分 具有工业产品质量监督抽查相关专业的中级（含）以上职称检验人员或具有10年（含）以上产品检验工作经历的人员数量≥8人，得6分； 具有工业产品质量监督抽查相关专业的中级（含）以上职称检验人员或具有10年（含）以上产品检验工作经历的人员数量介于4（含）人-7（含）人之间的，得3分； 其余得0分。 2.抽样人员，6分 抽样人员数量≥6人，得6分； 抽样人员数量介于4（含）人-6（不含）人之间的得3分； 其余得0分。 （检验人员需提供劳动合同、参保证明材料、职称证书或10年（含）以上产品检验证明材料等相关证明材料；抽样人员需提供劳动合同、参保证明材料） 二、提供人员职称证书证书和任用证明等证明材料。 项目负责人 该包产品的抽检工作项目负责人（即投标委托人同时负责该产品中标后服务），具有10年（含）以上检验工作经历和副高级职称，得3分；具有10年（含）以上检验工作经历或副高级职称，得2分；否则得0分。 （项目负责人需提供劳动合同、参保证明材料、职称证书、10年（含）以上检验工作经历证明材料）</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项目实验室场所和设备配置</w:t>
            </w:r>
          </w:p>
        </w:tc>
        <w:tc>
          <w:tcPr>
            <w:tcW w:type="dxa" w:w="2492"/>
          </w:tcPr>
          <w:p>
            <w:pPr>
              <w:pStyle w:val="null3"/>
            </w:pPr>
            <w:r>
              <w:rPr>
                <w:rFonts w:ascii="仿宋_GB2312" w:hAnsi="仿宋_GB2312" w:cs="仿宋_GB2312" w:eastAsia="仿宋_GB2312"/>
              </w:rPr>
              <w:t>一、有满足投标包内同类产品检测实验室、产品项目检验室。提供该包产品《实验室情况介绍》《产品项目实验室场所表》、厂房所有权证（复印件）或房屋租赁合同材料，产品项目检验需求全部满足，佐证材料齐全并承诺真实的得3分，否则得0分。 二、提供《拟投入本项目的主要设备配置表》，并提供现场照片、采购发票（或能证明设备为自主拥有的其他有效单据）等佐证材料；具备所投包含产品所有全部检验检测能力及配置设备无缺失的，得8分，有缺失的或无法提供佐证材料的，按品目计算每涉及一品目产品扣2分，扣完为止。</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产品质量分析及应急保障</w:t>
            </w:r>
          </w:p>
        </w:tc>
        <w:tc>
          <w:tcPr>
            <w:tcW w:type="dxa" w:w="2492"/>
          </w:tcPr>
          <w:p>
            <w:pPr>
              <w:pStyle w:val="null3"/>
            </w:pPr>
            <w:r>
              <w:rPr>
                <w:rFonts w:ascii="仿宋_GB2312" w:hAnsi="仿宋_GB2312" w:cs="仿宋_GB2312" w:eastAsia="仿宋_GB2312"/>
              </w:rPr>
              <w:t>产业总体情况及质量现状分析方案，5分 产业总体情况及质量现状分析材料（方案中需要对全国及陕西产业分布情况、产业现状、产品的质量现状、应用前景和发展趋势进行分析）： 分析方案完整，具有针对性，具备上述要求的全部内容，得5分； 分析方案基本符合采购要求，但细节有待完善，得4分； 分析方案不够具体，得2分； 分析方案不合理，得1分； 未响应或未提供，得0分。 二、应急保障，4分 重点难点分析及应对措施，应急预案和紧急事件处置措施（涉及因素：人员、时间、距离、地域市场熟悉度）： 重难点理解到位、应对措施合理可行，应急预案详细完整、处置措施针对性强得4分； 重难点理解基本到位、应对措施较为合理可行，应急预案较为详细得2分； 重难点理解及应对措施不合理，应急预案不详细得1分。 未响应或未提供，得0分。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服务责任承诺</w:t>
            </w:r>
          </w:p>
        </w:tc>
        <w:tc>
          <w:tcPr>
            <w:tcW w:type="dxa" w:w="2492"/>
          </w:tcPr>
          <w:p>
            <w:pPr>
              <w:pStyle w:val="null3"/>
            </w:pPr>
            <w:r>
              <w:rPr>
                <w:rFonts w:ascii="仿宋_GB2312" w:hAnsi="仿宋_GB2312" w:cs="仿宋_GB2312" w:eastAsia="仿宋_GB2312"/>
              </w:rPr>
              <w:t>（1）承诺：中标后我单位将在合同履约期限内随时服从采购人产品质量监督抽查工作部署，优先实施中标产品质量监督抽查服务，并按采购人规定时限和抽样产品品牌规格价格要求不折不扣地完成中标数量（批次）抽样检验服务工作； （2） 承诺：中标后能达到监督抽查抽样、检验全过程可视化；自行准备录像设备、笔记本（平板）电脑、便携彩色打印机、包装缠绕膜、宽胶带等抽样所需的相关设备材料，确定一名人员，熟悉《陕西省市场监督管理局产品质量监督抽查工作手册》和抽查流程,督促承检工作和保障抽查系统信息正常运行。 （3）承诺：运用陕西省市场监督管理局产品质量监督信息系统，按照《中华人民共和国产品质量法》《产品质量监督抽查管理暂行办法》《产品质量监督抽查委托协议》《产品质量监督抽查的通知》要求完成各项工作。 （4）承诺：中标后在投标文件中所承诺的事宜未兑现，采购人在认定我单位失信行为后,有权解除所签订的技术服务协议，解除协议之前中所产生的费用采购人不予支付，由我单位自行承担。 须有以上4项独立的符合要求的加盖公章的服务承诺书。每提供１项的得1分，共4分。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业务能力与业绩状况</w:t>
            </w:r>
          </w:p>
        </w:tc>
        <w:tc>
          <w:tcPr>
            <w:tcW w:type="dxa" w:w="2492"/>
          </w:tcPr>
          <w:p>
            <w:pPr>
              <w:pStyle w:val="null3"/>
            </w:pPr>
            <w:r>
              <w:rPr>
                <w:rFonts w:ascii="仿宋_GB2312" w:hAnsi="仿宋_GB2312" w:cs="仿宋_GB2312" w:eastAsia="仿宋_GB2312"/>
              </w:rPr>
              <w:t>一、对各品目产品主要检验项目如质量不合格可能引发的情况进行描述。 提供１个品目产品的描述的得1分，总分不超过4分。 二、供应商提供2024年1月至今类似抽检品目业绩（1.承担市级及以上认证部门有效性抽查、2.承担市级及以上质量监督部门的质量监督抽查或风险监测，以完整合同（协议）或委托书复印件加盖公章及签订时间为准。每提供1份得2分（同一品目可累积得分），最多8分；未提供相关内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抽检批次得分</w:t>
            </w:r>
          </w:p>
        </w:tc>
        <w:tc>
          <w:tcPr>
            <w:tcW w:type="dxa" w:w="2492"/>
          </w:tcPr>
          <w:p>
            <w:pPr>
              <w:pStyle w:val="null3"/>
            </w:pPr>
            <w:r>
              <w:rPr>
                <w:rFonts w:ascii="仿宋_GB2312" w:hAnsi="仿宋_GB2312" w:cs="仿宋_GB2312" w:eastAsia="仿宋_GB2312"/>
              </w:rPr>
              <w:t>总抽检批次得分=品目1总抽检批次得分×15%+品目2总抽检批次得分×15%+品目3总抽检批次得分×15%+品目4总抽检批次得分×15%+品目5总抽检批次得分×20%+品目6总抽检批次得分×20% 品目1抽检批次得分：P=10×Pn/Pmax 品目2抽检批次得分：P=10×Pn/Pmax 品目3抽检批次得分：P=10×Pn/Pmax 品目4抽检批次得分：P=10×Pn/Pmax 品目5抽检批次得分：P=10×Pn/Pmax 品目6抽检批次得分：P=10×Pn/Pmax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例表.docx</w:t>
            </w:r>
          </w:p>
          <w:p>
            <w:pPr>
              <w:pStyle w:val="null3"/>
            </w:pPr>
            <w:r>
              <w:rPr>
                <w:rFonts w:ascii="仿宋_GB2312" w:hAnsi="仿宋_GB2312" w:cs="仿宋_GB2312" w:eastAsia="仿宋_GB2312"/>
              </w:rPr>
              <w:t>抽检批次报价及投标包产品抽样检验周期承诺表4.docx</w:t>
            </w:r>
          </w:p>
          <w:p>
            <w:pPr>
              <w:pStyle w:val="null3"/>
            </w:pPr>
            <w:r>
              <w:rPr>
                <w:rFonts w:ascii="仿宋_GB2312" w:hAnsi="仿宋_GB2312" w:cs="仿宋_GB2312" w:eastAsia="仿宋_GB2312"/>
              </w:rPr>
              <w:t>体育用品等17种产品质量监督抽查响应表4.xlsx</w:t>
            </w:r>
          </w:p>
        </w:tc>
      </w:tr>
      <w:tr>
        <w:tc>
          <w:tcPr>
            <w:tcW w:type="dxa" w:w="831"/>
            <w:vMerge/>
          </w:tcPr>
          <w:p/>
        </w:tc>
        <w:tc>
          <w:tcPr>
            <w:tcW w:type="dxa" w:w="1661"/>
          </w:tcPr>
          <w:p>
            <w:pPr>
              <w:pStyle w:val="null3"/>
            </w:pPr>
            <w:r>
              <w:rPr>
                <w:rFonts w:ascii="仿宋_GB2312" w:hAnsi="仿宋_GB2312" w:cs="仿宋_GB2312" w:eastAsia="仿宋_GB2312"/>
              </w:rPr>
              <w:t>抽样检验周期</w:t>
            </w:r>
          </w:p>
        </w:tc>
        <w:tc>
          <w:tcPr>
            <w:tcW w:type="dxa" w:w="2492"/>
          </w:tcPr>
          <w:p>
            <w:pPr>
              <w:pStyle w:val="null3"/>
            </w:pPr>
            <w:r>
              <w:rPr>
                <w:rFonts w:ascii="仿宋_GB2312" w:hAnsi="仿宋_GB2312" w:cs="仿宋_GB2312" w:eastAsia="仿宋_GB2312"/>
              </w:rPr>
              <w:t>提供承诺并加盖公章的《投标包产品抽样检验周期承诺表》，以该包所有投标人平均抽样检验周期为“基准周期”，与“基准周期”前后相差2个工作日（含）内的，得5分；相差4个工作日（含）内的，得4分；相差6个工作日（含）内的，得3分；相差8个工作日（含）内的，得2分；相差10个工作日（含）内的，得1分；相差11个工作日（含）以上或《投标人产品抽样检验周期承诺表》相关数据不符合投标文件和相关标准要求的得0分。如中标后在实际工作中，每超过《投标包产品抽样检验周期承诺表》中承诺抽样检验周期2天增加1批次抽检产品或扣除中标费0.5%，如超过4天，增加抽检2批次或扣2×0.5%的中标经费，依次累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例表.docx</w:t>
            </w:r>
          </w:p>
          <w:p>
            <w:pPr>
              <w:pStyle w:val="null3"/>
            </w:pPr>
            <w:r>
              <w:rPr>
                <w:rFonts w:ascii="仿宋_GB2312" w:hAnsi="仿宋_GB2312" w:cs="仿宋_GB2312" w:eastAsia="仿宋_GB2312"/>
              </w:rPr>
              <w:t>体育用品等17种产品质量监督抽查响应表4.xlsx</w:t>
            </w:r>
          </w:p>
          <w:p>
            <w:pPr>
              <w:pStyle w:val="null3"/>
            </w:pPr>
            <w:r>
              <w:rPr>
                <w:rFonts w:ascii="仿宋_GB2312" w:hAnsi="仿宋_GB2312" w:cs="仿宋_GB2312" w:eastAsia="仿宋_GB2312"/>
              </w:rPr>
              <w:t>抽检批次报价及投标包产品抽样检验周期承诺表4.docx</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服务实施方案中需要对本项目的机构内部工作部署、抽样、样品接收及核查、检验、配合异议处理及复检的工作内容和安排、检验结果的处理、保密工作、检验结果数据追溯的实施等内容进行合理安排和制定。 打分要点：抽样管理方面（针对该包产品，制定抽样和检验人员分离、抽样人员职责、抽样程序规范、合格样品确认、抽样证据留存、样品封存防拆封措施、样品运输、拒绝及终止抽样问题处理等符合《产品质量监督抽查管理暂行办法》（2019年市场监管总局18号令）第三章规定的抽样管理制度及监督抽查信息系统录入保障制度）、检验管理方面（针对该包产品，制定样品接收程序，接收人员职责，实施认证或许可产品样品生产者确认，实验室检验员、审核员、负责人职责，检验质量控制，检验报告出具程序规定，检验后的样品处置等符合《产品质量监督抽查管理暂行办法》（市场监管总局18号令）第四章规定的检验管理制度）、异议处理方面（本次监督抽查实施检验结果委托送达，针对投标产品，制定检验结果通知书制定、检验结果送达、检验结果快递跟踪、复检备样交接及检验费支付、终止复检情况报告、异议处理及结果报告、抽检信息保密等符合《产品质量监督抽查管理暂行办法》（市场监管总局18号令）第五章规定的管理制度。） （1）机构内部工作部署方案，6分 方案编写贴近该产品实际抽查工作，要素完整，方案合理、可行，完全满足采购需求，得6分； 方案编写贴近该产品实际抽查工作，要素部分缺失，方案存在缺陷，部分满足招标文件要求，得4分； 方案要素不合理、不完整，难以满足招标文件要求的，得2分； 未提供相关内容，得0分。 （2）抽检服务方案，7分 抽检服务方案包括：抽样工作的具体内容及组织安排；样品接收及核查机制；检验工作的具体内容及要求。 方案编写贴近该产品实际抽查工作，要素完整，方案合理、可行，完全满足采购需求，得7分； 方案编写贴近该产品实际抽查工作，要素基本完整，存在缺陷，部分满足招标文件要求，得5分； 方案未响应、不完整，难以满足招标文件要求的，得3分； 未提供相关内容，得0分。 （3）后期工作方案，6分 后期工作方案包括：配合异议处理及复检的工作内容和安排；检验结果的处理。 方案编写贴近该产品实际抽查工作，要素完整，方案合理、可行，完全满足采购需求，得6分； 方案编写贴近该产品实际抽查工作，要素基本完整，存在缺陷，部分满足招标文件要求，得4分； 方案未响应、不完整，难以满足招标文件要求的，2分。 未提供相关内容，得0分。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能力建设</w:t>
            </w:r>
          </w:p>
        </w:tc>
        <w:tc>
          <w:tcPr>
            <w:tcW w:type="dxa" w:w="2492"/>
          </w:tcPr>
          <w:p>
            <w:pPr>
              <w:pStyle w:val="null3"/>
            </w:pPr>
            <w:r>
              <w:rPr>
                <w:rFonts w:ascii="仿宋_GB2312" w:hAnsi="仿宋_GB2312" w:cs="仿宋_GB2312" w:eastAsia="仿宋_GB2312"/>
              </w:rPr>
              <w:t>一、1.取得《中国合格评定国家认可委员会实验室认可证书》（CNAS）提供有效的认可证书复印件，并附官网查询截图（https://www.cnas.org.cn/）； 2.2023年1月至今单位或单位工作人员(须提供聘任、任用证明材料)参加国家标准、行业标准、地方标准制定，提供已发布的标准文本扫描件(加盖单位公章)，或能提供证明投标单位在本标准文件起草单位名单之列或投标单位工作人员在本标准文件起草人名单之列； 3.2024年1月至今单位或单位工作人员(须提供聘任、任用证明材料)参与国家、省、市各级科研计划项目，提供科研项目任务书(合同书)，或能提供证明投标单位或投标单位工作人员参与相关科研计划项目佐证材料的。CNAS、标准、科研三个项目，满足其中二项的得5分，满足其中一项的得3分。 二、提供检验项目比对表。具备所投产品的全部检验检测能力，供应商提供的有效资质认定证书（CMA）及附表扫描件，对相应检验项目、检验依据做好明显标记。具备所投包含产品所有全部检验检测能力的，得10分，有缺项的，按品目计算每涉及一品目产品扣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人员配备数量</w:t>
            </w:r>
          </w:p>
        </w:tc>
        <w:tc>
          <w:tcPr>
            <w:tcW w:type="dxa" w:w="2492"/>
          </w:tcPr>
          <w:p>
            <w:pPr>
              <w:pStyle w:val="null3"/>
            </w:pPr>
            <w:r>
              <w:rPr>
                <w:rFonts w:ascii="仿宋_GB2312" w:hAnsi="仿宋_GB2312" w:cs="仿宋_GB2312" w:eastAsia="仿宋_GB2312"/>
              </w:rPr>
              <w:t>提供职称证、人员身份证以及2025年至今任意三个月养老证明等证明材料。 根据供应商拟投入本项目的人员数量及相关行业职称水平赋分 1.检验人员，6分 具有工业产品质量监督抽查相关专业的中级（含）以上职称检验人员或具有10年（含）以上产品检验工作经历的人员数量≥8人，得6分； 具有工业产品质量监督抽查相关专业的中级（含）以上职称检验人员或具有10年（含）以上产品检验工作经历的人员数量介于4（含）人-7（含）人之间的，得3分； 其余得0分。 2.抽样人员，6分 抽样人员数量≥6人，得6分； 抽样人员数量介于4（含）人-6（不含）人之间的得3分； 其余得0分。 （检验人员需提供劳动合同、参保证明材料、职称证书或10年（含）以上产品检验证明材料等相关证明材料；抽样人员需提供劳动合同、参保证明材料） 二、提供人员职称证书证书和任用证明等证明材料。 项目负责人 该包产品的抽检工作项目负责人（即投标委托人同时负责该产品中标后服务），具有10年（含）以上检验工作经历和副高级职称，得3分；具有10年（含）以上检验工作经历或副高级职称，得2分；否则得0分。 （项目负责人需提供劳动合同、参保证明材料、职称证书、10年（含）以上检验工作经历证明材料）</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项目实验室场所和设备配置</w:t>
            </w:r>
          </w:p>
        </w:tc>
        <w:tc>
          <w:tcPr>
            <w:tcW w:type="dxa" w:w="2492"/>
          </w:tcPr>
          <w:p>
            <w:pPr>
              <w:pStyle w:val="null3"/>
            </w:pPr>
            <w:r>
              <w:rPr>
                <w:rFonts w:ascii="仿宋_GB2312" w:hAnsi="仿宋_GB2312" w:cs="仿宋_GB2312" w:eastAsia="仿宋_GB2312"/>
              </w:rPr>
              <w:t>一、有满足投标包内同类产品检测实验室、产品项目检验室。提供该包产品《实验室情况介绍》《产品项目实验室场所表》、厂房所有权证（复印件）或房屋租赁合同材料，产品项目检验需求全部满足，佐证材料齐全并承诺真实的得3分，否则得0分。 二、提供《拟投入本项目的主要设备配置表》，并提供现场照片、采购发票（或能证明设备为自主拥有的其他有效单据）等佐证材料；具备所投包含产品所有全部检验检测能力及配置设备无缺失的，得8分，有缺失的或无法提供佐证材料的，按品目计算每涉及一品目产品扣2分，扣完为止。</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产品质量分析及应急保障</w:t>
            </w:r>
          </w:p>
        </w:tc>
        <w:tc>
          <w:tcPr>
            <w:tcW w:type="dxa" w:w="2492"/>
          </w:tcPr>
          <w:p>
            <w:pPr>
              <w:pStyle w:val="null3"/>
            </w:pPr>
            <w:r>
              <w:rPr>
                <w:rFonts w:ascii="仿宋_GB2312" w:hAnsi="仿宋_GB2312" w:cs="仿宋_GB2312" w:eastAsia="仿宋_GB2312"/>
              </w:rPr>
              <w:t>产业总体情况及质量现状分析方案，5分 产业总体情况及质量现状分析材料（方案中需要对全国及陕西产业分布情况、产业现状、产品的质量现状、应用前景和发展趋势进行分析）： 分析方案完整，具有针对性，具备上述要求的全部内容，得5分； 分析方案基本符合采购要求，但细节有待完善，得4分； 分析方案不够具体，得2分； 分析方案不合理，得1分； 未响应或未提供，得0分。 二、应急保障，4分 重点难点分析及应对措施，应急预案和紧急事件处置措施（涉及因素：人员、时间、距离、地域市场熟悉度）： 重难点理解到位、应对措施合理可行，应急预案详细完整、处置措施针对性强得4分； 重难点理解基本到位、应对措施较为合理可行，应急预案较为详细得2分； 重难点理解及应对措施不合理，应急预案不详细得1分。 未响应或未提供，得0分。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服务责任承诺</w:t>
            </w:r>
          </w:p>
        </w:tc>
        <w:tc>
          <w:tcPr>
            <w:tcW w:type="dxa" w:w="2492"/>
          </w:tcPr>
          <w:p>
            <w:pPr>
              <w:pStyle w:val="null3"/>
            </w:pPr>
            <w:r>
              <w:rPr>
                <w:rFonts w:ascii="仿宋_GB2312" w:hAnsi="仿宋_GB2312" w:cs="仿宋_GB2312" w:eastAsia="仿宋_GB2312"/>
              </w:rPr>
              <w:t>（1）承诺：中标后我单位将在合同履约期限内随时服从采购人产品质量监督抽查工作部署，优先实施中标产品质量监督抽查服务，并按采购人规定时限和抽样产品品牌规格价格要求不折不扣地完成中标数量（批次）抽样检验服务工作； （2） 承诺：中标后能达到监督抽查抽样、检验全过程可视化；自行准备录像设备、笔记本（平板）电脑、便携彩色打印机、包装缠绕膜、宽胶带等抽样所需的相关设备材料，确定一名人员，熟悉《陕西省市场监督管理局产品质量监督抽查工作手册》和抽查流程,督促承检工作和保障抽查系统信息正常运行。 （3）承诺：运用陕西省市场监督管理局产品质量监督信息系统，按照《中华人民共和国产品质量法》《产品质量监督抽查管理暂行办法》《产品质量监督抽查委托协议》《产品质量监督抽查的通知》要求完成各项工作。 （4）承诺：中标后在投标文件中所承诺的事宜未兑现，采购人在认定我单位失信行为后,有权解除所签订的技术服务协议，解除协议之前中所产生的费用采购人不予支付，由我单位自行承担。 须有以上4项独立的符合要求的加盖公章的服务承诺书。每提供１项的得1分，共4分。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业务能力与业绩状况</w:t>
            </w:r>
          </w:p>
        </w:tc>
        <w:tc>
          <w:tcPr>
            <w:tcW w:type="dxa" w:w="2492"/>
          </w:tcPr>
          <w:p>
            <w:pPr>
              <w:pStyle w:val="null3"/>
            </w:pPr>
            <w:r>
              <w:rPr>
                <w:rFonts w:ascii="仿宋_GB2312" w:hAnsi="仿宋_GB2312" w:cs="仿宋_GB2312" w:eastAsia="仿宋_GB2312"/>
              </w:rPr>
              <w:t>一、对各品目产品主要检验项目如质量不合格可能引发的情况进行描述。 提供１个品目产品的描述的得1分，总分不超过4分。 二、供应商提供2024年1月至今类似抽检品目业绩（1.承担市级及以上认证部门有效性抽查、2.承担市级及以上质量监督部门的质量监督抽查或风险监测，以完整合同（协议）或委托书复印件加盖公章及签订时间为准。每提供1份得2分（同一品目可累积得分），最多8分；未提供相关内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详见附件：例表.docx</w:t>
      </w:r>
    </w:p>
    <w:p>
      <w:pPr>
        <w:pStyle w:val="null3"/>
        <w:ind w:firstLine="960"/>
      </w:pPr>
      <w:r>
        <w:rPr>
          <w:rFonts w:ascii="仿宋_GB2312" w:hAnsi="仿宋_GB2312" w:cs="仿宋_GB2312" w:eastAsia="仿宋_GB2312"/>
        </w:rPr>
        <w:t>详见附件：抽检批次报价及投标包产品抽样检验周期承诺表1.docx</w:t>
      </w:r>
    </w:p>
    <w:p>
      <w:pPr>
        <w:pStyle w:val="null3"/>
        <w:ind w:firstLine="960"/>
      </w:pPr>
      <w:r>
        <w:rPr>
          <w:rFonts w:ascii="仿宋_GB2312" w:hAnsi="仿宋_GB2312" w:cs="仿宋_GB2312" w:eastAsia="仿宋_GB2312"/>
        </w:rPr>
        <w:t>详见附件：体育用品等17种产品质量监督抽查响应表1.xlsx</w:t>
      </w:r>
    </w:p>
    <w:p>
      <w:pPr>
        <w:pStyle w:val="null3"/>
        <w:ind w:firstLine="960"/>
      </w:pPr>
      <w:r>
        <w:rPr>
          <w:rFonts w:ascii="仿宋_GB2312" w:hAnsi="仿宋_GB2312" w:cs="仿宋_GB2312" w:eastAsia="仿宋_GB2312"/>
        </w:rPr>
        <w:t>详见附件：情况说明.pdf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详见附件：例表.docx</w:t>
      </w:r>
    </w:p>
    <w:p>
      <w:pPr>
        <w:pStyle w:val="null3"/>
        <w:ind w:firstLine="960"/>
      </w:pPr>
      <w:r>
        <w:rPr>
          <w:rFonts w:ascii="仿宋_GB2312" w:hAnsi="仿宋_GB2312" w:cs="仿宋_GB2312" w:eastAsia="仿宋_GB2312"/>
        </w:rPr>
        <w:t>详见附件：抽检批次报价及投标包产品抽样检验周期承诺表2.docx</w:t>
      </w:r>
    </w:p>
    <w:p>
      <w:pPr>
        <w:pStyle w:val="null3"/>
        <w:ind w:firstLine="960"/>
      </w:pPr>
      <w:r>
        <w:rPr>
          <w:rFonts w:ascii="仿宋_GB2312" w:hAnsi="仿宋_GB2312" w:cs="仿宋_GB2312" w:eastAsia="仿宋_GB2312"/>
        </w:rPr>
        <w:t>详见附件：体育用品等17种产品质量监督抽查响应表2.xlsx</w:t>
      </w:r>
    </w:p>
    <w:p>
      <w:pPr>
        <w:pStyle w:val="null3"/>
        <w:ind w:firstLine="960"/>
      </w:pPr>
      <w:r>
        <w:rPr>
          <w:rFonts w:ascii="仿宋_GB2312" w:hAnsi="仿宋_GB2312" w:cs="仿宋_GB2312" w:eastAsia="仿宋_GB2312"/>
        </w:rPr>
        <w:t>详见附件：情况说明.pdf</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详见附件：例表.docx</w:t>
      </w:r>
    </w:p>
    <w:p>
      <w:pPr>
        <w:pStyle w:val="null3"/>
        <w:ind w:firstLine="960"/>
      </w:pPr>
      <w:r>
        <w:rPr>
          <w:rFonts w:ascii="仿宋_GB2312" w:hAnsi="仿宋_GB2312" w:cs="仿宋_GB2312" w:eastAsia="仿宋_GB2312"/>
        </w:rPr>
        <w:t>详见附件：抽检批次报价及投标包产品抽样检验周期承诺表3.docx</w:t>
      </w:r>
    </w:p>
    <w:p>
      <w:pPr>
        <w:pStyle w:val="null3"/>
        <w:ind w:firstLine="960"/>
      </w:pPr>
      <w:r>
        <w:rPr>
          <w:rFonts w:ascii="仿宋_GB2312" w:hAnsi="仿宋_GB2312" w:cs="仿宋_GB2312" w:eastAsia="仿宋_GB2312"/>
        </w:rPr>
        <w:t>详见附件：体育用品等17种产品质量监督抽查响应表3.xlsx</w:t>
      </w:r>
    </w:p>
    <w:p>
      <w:pPr>
        <w:pStyle w:val="null3"/>
        <w:ind w:firstLine="960"/>
      </w:pPr>
      <w:r>
        <w:rPr>
          <w:rFonts w:ascii="仿宋_GB2312" w:hAnsi="仿宋_GB2312" w:cs="仿宋_GB2312" w:eastAsia="仿宋_GB2312"/>
        </w:rPr>
        <w:t>详见附件：情况说明.pdf</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详见附件：例表.docx</w:t>
      </w:r>
    </w:p>
    <w:p>
      <w:pPr>
        <w:pStyle w:val="null3"/>
        <w:ind w:firstLine="960"/>
      </w:pPr>
      <w:r>
        <w:rPr>
          <w:rFonts w:ascii="仿宋_GB2312" w:hAnsi="仿宋_GB2312" w:cs="仿宋_GB2312" w:eastAsia="仿宋_GB2312"/>
        </w:rPr>
        <w:t>详见附件：抽检批次报价及投标包产品抽样检验周期承诺表4.docx</w:t>
      </w:r>
    </w:p>
    <w:p>
      <w:pPr>
        <w:pStyle w:val="null3"/>
        <w:ind w:firstLine="960"/>
      </w:pPr>
      <w:r>
        <w:rPr>
          <w:rFonts w:ascii="仿宋_GB2312" w:hAnsi="仿宋_GB2312" w:cs="仿宋_GB2312" w:eastAsia="仿宋_GB2312"/>
        </w:rPr>
        <w:t>详见附件：体育用品等17种产品质量监督抽查响应表4.xlsx</w:t>
      </w:r>
    </w:p>
    <w:p>
      <w:pPr>
        <w:pStyle w:val="null3"/>
        <w:ind w:firstLine="960"/>
      </w:pPr>
      <w:r>
        <w:rPr>
          <w:rFonts w:ascii="仿宋_GB2312" w:hAnsi="仿宋_GB2312" w:cs="仿宋_GB2312" w:eastAsia="仿宋_GB2312"/>
        </w:rPr>
        <w:t>详见附件：情况说明.pdf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详见附件：合同参考格式.docx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