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26412F">
      <w:pPr>
        <w:spacing w:before="936" w:after="5616"/>
        <w:jc w:val="center"/>
        <w:rPr>
          <w:rFonts w:hint="eastAsia" w:ascii="仿宋" w:hAnsi="仿宋" w:eastAsia="仿宋" w:cs="仿宋"/>
          <w:b/>
          <w:color w:val="auto"/>
          <w:spacing w:val="-6"/>
          <w:sz w:val="52"/>
        </w:rPr>
      </w:pPr>
      <w:r>
        <w:rPr>
          <w:rFonts w:hint="eastAsia" w:ascii="仿宋" w:hAnsi="仿宋" w:eastAsia="仿宋" w:cs="仿宋"/>
          <w:b/>
          <w:color w:val="auto"/>
          <w:spacing w:val="57"/>
          <w:sz w:val="52"/>
        </w:rPr>
        <w:t>西安理工大学重大设备更新项目设备采购合同</w:t>
      </w:r>
    </w:p>
    <w:tbl>
      <w:tblPr>
        <w:tblStyle w:val="3"/>
        <w:tblW w:w="0" w:type="auto"/>
        <w:jc w:val="center"/>
        <w:tblLayout w:type="autofit"/>
        <w:tblCellMar>
          <w:top w:w="0" w:type="dxa"/>
          <w:left w:w="10" w:type="dxa"/>
          <w:bottom w:w="0" w:type="dxa"/>
          <w:right w:w="10" w:type="dxa"/>
        </w:tblCellMar>
      </w:tblPr>
      <w:tblGrid>
        <w:gridCol w:w="6204"/>
      </w:tblGrid>
      <w:tr w14:paraId="6110446A">
        <w:tblPrEx>
          <w:tblCellMar>
            <w:top w:w="0" w:type="dxa"/>
            <w:left w:w="10" w:type="dxa"/>
            <w:bottom w:w="0" w:type="dxa"/>
            <w:right w:w="10" w:type="dxa"/>
          </w:tblCellMar>
        </w:tblPrEx>
        <w:trPr>
          <w:trHeight w:val="1" w:hRule="atLeast"/>
          <w:jc w:val="center"/>
        </w:trPr>
        <w:tc>
          <w:tcPr>
            <w:tcW w:w="6204" w:type="dxa"/>
            <w:tcBorders>
              <w:top w:val="single" w:color="000000" w:sz="0" w:space="0"/>
              <w:left w:val="single" w:color="000000" w:sz="0" w:space="0"/>
              <w:bottom w:val="single" w:color="000000" w:sz="0" w:space="0"/>
              <w:right w:val="single" w:color="000000" w:sz="0" w:space="0"/>
            </w:tcBorders>
            <w:shd w:val="clear" w:color="000000" w:fill="FFFFFF"/>
            <w:tcMar>
              <w:left w:w="108" w:type="dxa"/>
              <w:right w:w="108" w:type="dxa"/>
            </w:tcMar>
          </w:tcPr>
          <w:p w14:paraId="6CA0019C">
            <w:pPr>
              <w:widowControl w:val="0"/>
              <w:kinsoku/>
              <w:autoSpaceDE/>
              <w:autoSpaceDN/>
              <w:adjustRightInd/>
              <w:snapToGrid/>
              <w:spacing w:line="360" w:lineRule="auto"/>
              <w:textAlignment w:val="auto"/>
              <w:rPr>
                <w:rFonts w:hint="eastAsia" w:ascii="仿宋" w:hAnsi="仿宋" w:eastAsia="仿宋" w:cs="仿宋"/>
                <w:b/>
                <w:color w:val="auto"/>
                <w:sz w:val="32"/>
              </w:rPr>
            </w:pPr>
            <w:r>
              <w:rPr>
                <w:rFonts w:hint="eastAsia" w:ascii="仿宋" w:hAnsi="仿宋" w:eastAsia="仿宋" w:cs="仿宋"/>
                <w:b/>
                <w:color w:val="auto"/>
                <w:sz w:val="32"/>
              </w:rPr>
              <w:t>合同名称：</w:t>
            </w:r>
            <w:r>
              <w:rPr>
                <w:rFonts w:hint="eastAsia" w:ascii="仿宋" w:hAnsi="仿宋" w:eastAsia="仿宋" w:cs="仿宋"/>
                <w:b/>
                <w:color w:val="auto"/>
                <w:sz w:val="32"/>
                <w:u w:val="single"/>
              </w:rPr>
              <w:t>材料高低温疲劳性能测试设备</w:t>
            </w:r>
          </w:p>
          <w:p w14:paraId="24CCD5BB">
            <w:pPr>
              <w:widowControl w:val="0"/>
              <w:kinsoku/>
              <w:autoSpaceDE/>
              <w:autoSpaceDN/>
              <w:adjustRightInd/>
              <w:snapToGrid/>
              <w:spacing w:line="360" w:lineRule="auto"/>
              <w:textAlignment w:val="auto"/>
              <w:rPr>
                <w:rFonts w:hint="eastAsia" w:ascii="仿宋" w:hAnsi="仿宋" w:eastAsia="仿宋" w:cs="仿宋"/>
                <w:color w:val="auto"/>
              </w:rPr>
            </w:pPr>
            <w:r>
              <w:rPr>
                <w:rFonts w:hint="eastAsia" w:ascii="仿宋" w:hAnsi="仿宋" w:eastAsia="仿宋" w:cs="仿宋"/>
                <w:b/>
                <w:color w:val="auto"/>
                <w:sz w:val="32"/>
              </w:rPr>
              <w:t>合同编号：</w:t>
            </w:r>
            <w:r>
              <w:rPr>
                <w:rFonts w:hint="eastAsia" w:ascii="仿宋" w:hAnsi="仿宋" w:eastAsia="仿宋" w:cs="仿宋"/>
                <w:b/>
                <w:iCs/>
                <w:color w:val="auto"/>
                <w:sz w:val="32"/>
                <w:highlight w:val="none"/>
                <w:u w:val="single"/>
              </w:rPr>
              <w:t>采购计划编号（2026**HW***）</w:t>
            </w:r>
          </w:p>
        </w:tc>
      </w:tr>
    </w:tbl>
    <w:p w14:paraId="7878DA3C">
      <w:pPr>
        <w:rPr>
          <w:rFonts w:hint="eastAsia" w:ascii="仿宋" w:hAnsi="仿宋" w:eastAsia="仿宋" w:cs="仿宋"/>
          <w:b/>
          <w:color w:val="auto"/>
          <w:sz w:val="24"/>
        </w:rPr>
      </w:pPr>
    </w:p>
    <w:p w14:paraId="35EE7EA1">
      <w:pPr>
        <w:jc w:val="right"/>
        <w:rPr>
          <w:rFonts w:hint="eastAsia" w:ascii="仿宋" w:hAnsi="仿宋" w:eastAsia="仿宋" w:cs="仿宋"/>
          <w:color w:val="auto"/>
          <w:sz w:val="24"/>
        </w:rPr>
      </w:pPr>
    </w:p>
    <w:p w14:paraId="415943E5">
      <w:pPr>
        <w:jc w:val="right"/>
        <w:rPr>
          <w:rFonts w:hint="eastAsia" w:ascii="仿宋" w:hAnsi="仿宋" w:eastAsia="仿宋" w:cs="仿宋"/>
          <w:color w:val="auto"/>
          <w:sz w:val="24"/>
        </w:rPr>
      </w:pPr>
    </w:p>
    <w:p w14:paraId="59DBC564">
      <w:pPr>
        <w:jc w:val="right"/>
        <w:rPr>
          <w:rFonts w:hint="eastAsia" w:ascii="仿宋" w:hAnsi="仿宋" w:eastAsia="仿宋" w:cs="仿宋"/>
          <w:color w:val="auto"/>
          <w:sz w:val="24"/>
        </w:rPr>
      </w:pPr>
    </w:p>
    <w:p w14:paraId="38F228DE">
      <w:pPr>
        <w:spacing w:before="312" w:after="312"/>
        <w:ind w:firstLine="2880" w:firstLineChars="900"/>
        <w:jc w:val="both"/>
        <w:rPr>
          <w:rFonts w:hint="eastAsia" w:ascii="仿宋" w:hAnsi="仿宋" w:eastAsia="仿宋" w:cs="仿宋"/>
          <w:color w:val="auto"/>
          <w:sz w:val="32"/>
          <w:u w:val="single"/>
        </w:rPr>
      </w:pPr>
    </w:p>
    <w:p w14:paraId="0AA4E645">
      <w:pPr>
        <w:spacing w:before="312" w:after="312"/>
        <w:ind w:firstLine="2880" w:firstLineChars="900"/>
        <w:jc w:val="both"/>
        <w:rPr>
          <w:rFonts w:hint="eastAsia" w:ascii="仿宋" w:hAnsi="仿宋" w:eastAsia="仿宋" w:cs="仿宋"/>
          <w:color w:val="auto"/>
          <w:sz w:val="32"/>
          <w:u w:val="single"/>
        </w:rPr>
      </w:pPr>
    </w:p>
    <w:p w14:paraId="632D6A60">
      <w:pPr>
        <w:rPr>
          <w:rFonts w:hint="eastAsia" w:ascii="仿宋" w:hAnsi="仿宋" w:eastAsia="仿宋" w:cs="仿宋"/>
          <w:color w:val="auto"/>
          <w:sz w:val="32"/>
          <w:u w:val="single"/>
        </w:rPr>
      </w:pPr>
      <w:r>
        <w:rPr>
          <w:rFonts w:hint="eastAsia" w:ascii="仿宋" w:hAnsi="仿宋" w:eastAsia="仿宋" w:cs="仿宋"/>
          <w:color w:val="auto"/>
          <w:sz w:val="32"/>
          <w:u w:val="single"/>
        </w:rPr>
        <w:br w:type="page"/>
      </w:r>
    </w:p>
    <w:p w14:paraId="0C9B404E">
      <w:pPr>
        <w:spacing w:before="312" w:after="312"/>
        <w:jc w:val="center"/>
        <w:rPr>
          <w:rFonts w:hint="eastAsia" w:ascii="仿宋" w:hAnsi="仿宋" w:eastAsia="仿宋" w:cs="仿宋"/>
          <w:color w:val="auto"/>
          <w:sz w:val="24"/>
          <w:u w:val="single"/>
        </w:rPr>
      </w:pPr>
      <w:r>
        <w:rPr>
          <w:rFonts w:hint="eastAsia" w:ascii="仿宋" w:hAnsi="仿宋" w:eastAsia="仿宋" w:cs="仿宋"/>
          <w:color w:val="auto"/>
          <w:sz w:val="32"/>
          <w:u w:val="single"/>
        </w:rPr>
        <w:t xml:space="preserve">材料高低温疲劳性能测试设备 </w:t>
      </w:r>
      <w:r>
        <w:rPr>
          <w:rFonts w:hint="eastAsia" w:ascii="仿宋" w:hAnsi="仿宋" w:eastAsia="仿宋" w:cs="仿宋"/>
          <w:color w:val="auto"/>
          <w:sz w:val="32"/>
        </w:rPr>
        <w:t>合同</w:t>
      </w:r>
    </w:p>
    <w:p w14:paraId="78B4F437">
      <w:pPr>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rPr>
        <w:t>根据《中华人民共和国民法典》、《中华人民共和国政府采购法》等相关法规，</w:t>
      </w:r>
      <w:r>
        <w:rPr>
          <w:rFonts w:hint="eastAsia" w:ascii="仿宋" w:hAnsi="仿宋" w:eastAsia="仿宋" w:cs="仿宋"/>
          <w:b/>
          <w:bCs/>
          <w:color w:val="auto"/>
          <w:sz w:val="24"/>
        </w:rPr>
        <w:t>西安理工大学</w:t>
      </w:r>
      <w:r>
        <w:rPr>
          <w:rFonts w:hint="eastAsia" w:ascii="仿宋" w:hAnsi="仿宋" w:eastAsia="仿宋" w:cs="仿宋"/>
          <w:color w:val="auto"/>
          <w:sz w:val="24"/>
        </w:rPr>
        <w:t>(甲方)与</w:t>
      </w:r>
      <w:r>
        <w:rPr>
          <w:rFonts w:hint="eastAsia" w:ascii="仿宋" w:hAnsi="仿宋" w:eastAsia="仿宋" w:cs="仿宋"/>
          <w:color w:val="auto"/>
          <w:sz w:val="24"/>
          <w:u w:val="single"/>
        </w:rPr>
        <w:t xml:space="preserve">                            </w:t>
      </w:r>
      <w:r>
        <w:rPr>
          <w:rFonts w:hint="eastAsia" w:ascii="仿宋" w:hAnsi="仿宋" w:eastAsia="仿宋" w:cs="仿宋"/>
          <w:color w:val="auto"/>
          <w:sz w:val="24"/>
        </w:rPr>
        <w:t>(乙方)就甲方购置</w:t>
      </w:r>
      <w:r>
        <w:rPr>
          <w:rFonts w:hint="eastAsia" w:ascii="仿宋" w:hAnsi="仿宋" w:eastAsia="仿宋" w:cs="仿宋"/>
          <w:color w:val="auto"/>
          <w:sz w:val="24"/>
          <w:u w:val="single"/>
        </w:rPr>
        <w:t xml:space="preserve"> 材料高低温疲劳性能测试设备  </w:t>
      </w:r>
      <w:r>
        <w:rPr>
          <w:rFonts w:hint="eastAsia" w:ascii="仿宋" w:hAnsi="仿宋" w:eastAsia="仿宋" w:cs="仿宋"/>
          <w:color w:val="auto"/>
          <w:sz w:val="24"/>
        </w:rPr>
        <w:t>的采购项目，经双方协商达成如下合同条款：</w:t>
      </w:r>
    </w:p>
    <w:p w14:paraId="392B1CC5">
      <w:pPr>
        <w:spacing w:line="360" w:lineRule="auto"/>
        <w:ind w:firstLine="482" w:firstLineChars="200"/>
        <w:rPr>
          <w:rFonts w:hint="eastAsia" w:ascii="仿宋" w:hAnsi="仿宋" w:eastAsia="仿宋" w:cs="仿宋"/>
          <w:b/>
          <w:bCs/>
          <w:color w:val="auto"/>
          <w:sz w:val="24"/>
        </w:rPr>
      </w:pPr>
      <w:r>
        <w:rPr>
          <w:rFonts w:hint="eastAsia" w:ascii="仿宋" w:hAnsi="仿宋" w:eastAsia="仿宋" w:cs="仿宋"/>
          <w:b/>
          <w:bCs/>
          <w:color w:val="auto"/>
          <w:sz w:val="24"/>
        </w:rPr>
        <w:t>一、标的物及技术要求</w:t>
      </w:r>
    </w:p>
    <w:p w14:paraId="619FE47F">
      <w:pPr>
        <w:spacing w:line="360" w:lineRule="auto"/>
        <w:ind w:firstLine="482" w:firstLineChars="200"/>
        <w:rPr>
          <w:rFonts w:hint="eastAsia" w:ascii="仿宋" w:hAnsi="仿宋" w:eastAsia="仿宋" w:cs="仿宋"/>
          <w:b/>
          <w:bCs/>
          <w:color w:val="auto"/>
          <w:sz w:val="24"/>
        </w:rPr>
      </w:pPr>
      <w:r>
        <w:rPr>
          <w:rFonts w:hint="eastAsia" w:ascii="仿宋" w:hAnsi="仿宋" w:eastAsia="仿宋" w:cs="仿宋"/>
          <w:b/>
          <w:bCs/>
          <w:color w:val="auto"/>
          <w:sz w:val="24"/>
        </w:rPr>
        <w:t>1.设备购置清单（投标文件分项报价表）：</w:t>
      </w:r>
    </w:p>
    <w:tbl>
      <w:tblPr>
        <w:tblStyle w:val="3"/>
        <w:tblW w:w="8757" w:type="dxa"/>
        <w:jc w:val="center"/>
        <w:tblLayout w:type="autofit"/>
        <w:tblCellMar>
          <w:top w:w="0" w:type="dxa"/>
          <w:left w:w="10" w:type="dxa"/>
          <w:bottom w:w="0" w:type="dxa"/>
          <w:right w:w="10" w:type="dxa"/>
        </w:tblCellMar>
      </w:tblPr>
      <w:tblGrid>
        <w:gridCol w:w="642"/>
        <w:gridCol w:w="1531"/>
        <w:gridCol w:w="1788"/>
        <w:gridCol w:w="1439"/>
        <w:gridCol w:w="935"/>
        <w:gridCol w:w="1337"/>
        <w:gridCol w:w="1085"/>
      </w:tblGrid>
      <w:tr w14:paraId="6D460E00">
        <w:tblPrEx>
          <w:tblCellMar>
            <w:top w:w="0" w:type="dxa"/>
            <w:left w:w="10" w:type="dxa"/>
            <w:bottom w:w="0" w:type="dxa"/>
            <w:right w:w="10" w:type="dxa"/>
          </w:tblCellMar>
        </w:tblPrEx>
        <w:trPr>
          <w:trHeight w:val="866" w:hRule="atLeast"/>
          <w:jc w:val="center"/>
        </w:trPr>
        <w:tc>
          <w:tcPr>
            <w:tcW w:w="64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E39A5E6">
            <w:pPr>
              <w:jc w:val="center"/>
              <w:rPr>
                <w:rFonts w:hint="eastAsia" w:ascii="仿宋" w:hAnsi="仿宋" w:eastAsia="仿宋" w:cs="仿宋"/>
                <w:color w:val="auto"/>
              </w:rPr>
            </w:pPr>
            <w:r>
              <w:rPr>
                <w:rFonts w:hint="eastAsia" w:ascii="仿宋" w:hAnsi="仿宋" w:eastAsia="仿宋" w:cs="仿宋"/>
                <w:b/>
                <w:color w:val="auto"/>
              </w:rPr>
              <w:t>序号</w:t>
            </w:r>
          </w:p>
        </w:tc>
        <w:tc>
          <w:tcPr>
            <w:tcW w:w="153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CEA7ECD">
            <w:pPr>
              <w:jc w:val="center"/>
              <w:rPr>
                <w:rFonts w:hint="eastAsia" w:ascii="仿宋" w:hAnsi="仿宋" w:eastAsia="仿宋" w:cs="仿宋"/>
                <w:color w:val="auto"/>
              </w:rPr>
            </w:pPr>
            <w:r>
              <w:rPr>
                <w:rFonts w:hint="eastAsia" w:ascii="仿宋" w:hAnsi="仿宋" w:eastAsia="仿宋" w:cs="仿宋"/>
                <w:b/>
                <w:color w:val="auto"/>
              </w:rPr>
              <w:t>设备名称</w:t>
            </w:r>
          </w:p>
        </w:tc>
        <w:tc>
          <w:tcPr>
            <w:tcW w:w="178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27EA575">
            <w:pPr>
              <w:jc w:val="center"/>
              <w:rPr>
                <w:rFonts w:hint="eastAsia" w:ascii="仿宋" w:hAnsi="仿宋" w:eastAsia="仿宋" w:cs="仿宋"/>
                <w:color w:val="auto"/>
              </w:rPr>
            </w:pPr>
            <w:r>
              <w:rPr>
                <w:rFonts w:hint="eastAsia" w:ascii="仿宋" w:hAnsi="仿宋" w:eastAsia="仿宋" w:cs="仿宋"/>
                <w:b/>
                <w:color w:val="auto"/>
              </w:rPr>
              <w:t>品牌/规格/型号</w:t>
            </w:r>
          </w:p>
        </w:tc>
        <w:tc>
          <w:tcPr>
            <w:tcW w:w="143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7486572">
            <w:pPr>
              <w:jc w:val="center"/>
              <w:rPr>
                <w:rFonts w:hint="eastAsia" w:ascii="仿宋" w:hAnsi="仿宋" w:eastAsia="仿宋" w:cs="仿宋"/>
                <w:color w:val="auto"/>
              </w:rPr>
            </w:pPr>
            <w:r>
              <w:rPr>
                <w:rFonts w:hint="eastAsia" w:ascii="仿宋" w:hAnsi="仿宋" w:eastAsia="仿宋" w:cs="仿宋"/>
                <w:b/>
                <w:color w:val="auto"/>
              </w:rPr>
              <w:t>生产厂家</w:t>
            </w:r>
          </w:p>
        </w:tc>
        <w:tc>
          <w:tcPr>
            <w:tcW w:w="9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E5E5716">
            <w:pPr>
              <w:jc w:val="center"/>
              <w:rPr>
                <w:rFonts w:hint="eastAsia" w:ascii="仿宋" w:hAnsi="仿宋" w:eastAsia="仿宋" w:cs="仿宋"/>
                <w:color w:val="auto"/>
              </w:rPr>
            </w:pPr>
            <w:r>
              <w:rPr>
                <w:rFonts w:hint="eastAsia" w:ascii="仿宋" w:hAnsi="仿宋" w:eastAsia="仿宋" w:cs="仿宋"/>
                <w:b/>
                <w:color w:val="auto"/>
              </w:rPr>
              <w:t>数 量（台、套）</w:t>
            </w:r>
          </w:p>
        </w:tc>
        <w:tc>
          <w:tcPr>
            <w:tcW w:w="13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140833D">
            <w:pPr>
              <w:jc w:val="center"/>
              <w:rPr>
                <w:rFonts w:hint="eastAsia" w:ascii="仿宋" w:hAnsi="仿宋" w:eastAsia="仿宋" w:cs="仿宋"/>
                <w:b/>
                <w:color w:val="auto"/>
              </w:rPr>
            </w:pPr>
            <w:r>
              <w:rPr>
                <w:rFonts w:hint="eastAsia" w:ascii="仿宋" w:hAnsi="仿宋" w:eastAsia="仿宋" w:cs="仿宋"/>
                <w:b/>
                <w:color w:val="auto"/>
              </w:rPr>
              <w:t>单 价</w:t>
            </w:r>
          </w:p>
          <w:p w14:paraId="162A6057">
            <w:pPr>
              <w:jc w:val="center"/>
              <w:rPr>
                <w:rFonts w:hint="eastAsia" w:ascii="仿宋" w:hAnsi="仿宋" w:eastAsia="仿宋" w:cs="仿宋"/>
                <w:color w:val="auto"/>
              </w:rPr>
            </w:pPr>
            <w:r>
              <w:rPr>
                <w:rFonts w:hint="eastAsia" w:ascii="仿宋" w:hAnsi="仿宋" w:eastAsia="仿宋" w:cs="仿宋"/>
                <w:b/>
                <w:color w:val="auto"/>
              </w:rPr>
              <w:t>（元）</w:t>
            </w:r>
          </w:p>
        </w:tc>
        <w:tc>
          <w:tcPr>
            <w:tcW w:w="10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3D65ED7">
            <w:pPr>
              <w:jc w:val="center"/>
              <w:rPr>
                <w:rFonts w:hint="eastAsia" w:ascii="仿宋" w:hAnsi="仿宋" w:eastAsia="仿宋" w:cs="仿宋"/>
                <w:b/>
                <w:color w:val="auto"/>
              </w:rPr>
            </w:pPr>
            <w:r>
              <w:rPr>
                <w:rFonts w:hint="eastAsia" w:ascii="仿宋" w:hAnsi="仿宋" w:eastAsia="仿宋" w:cs="仿宋"/>
                <w:b/>
                <w:color w:val="auto"/>
              </w:rPr>
              <w:t>小 计</w:t>
            </w:r>
          </w:p>
          <w:p w14:paraId="0993F769">
            <w:pPr>
              <w:jc w:val="center"/>
              <w:rPr>
                <w:rFonts w:hint="eastAsia" w:ascii="仿宋" w:hAnsi="仿宋" w:eastAsia="仿宋" w:cs="仿宋"/>
                <w:color w:val="auto"/>
              </w:rPr>
            </w:pPr>
            <w:r>
              <w:rPr>
                <w:rFonts w:hint="eastAsia" w:ascii="仿宋" w:hAnsi="仿宋" w:eastAsia="仿宋" w:cs="仿宋"/>
                <w:b/>
                <w:color w:val="auto"/>
              </w:rPr>
              <w:t>（元）</w:t>
            </w:r>
          </w:p>
        </w:tc>
      </w:tr>
      <w:tr w14:paraId="390BE192">
        <w:tblPrEx>
          <w:tblCellMar>
            <w:top w:w="0" w:type="dxa"/>
            <w:left w:w="10" w:type="dxa"/>
            <w:bottom w:w="0" w:type="dxa"/>
            <w:right w:w="10" w:type="dxa"/>
          </w:tblCellMar>
        </w:tblPrEx>
        <w:trPr>
          <w:trHeight w:val="431" w:hRule="atLeast"/>
          <w:jc w:val="center"/>
        </w:trPr>
        <w:tc>
          <w:tcPr>
            <w:tcW w:w="64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26FDDE5">
            <w:pPr>
              <w:jc w:val="center"/>
              <w:rPr>
                <w:rFonts w:hint="eastAsia" w:ascii="仿宋" w:hAnsi="仿宋" w:eastAsia="仿宋" w:cs="仿宋"/>
                <w:color w:val="auto"/>
              </w:rPr>
            </w:pPr>
            <w:r>
              <w:rPr>
                <w:rFonts w:hint="eastAsia" w:ascii="仿宋" w:hAnsi="仿宋" w:eastAsia="仿宋" w:cs="仿宋"/>
                <w:b/>
                <w:color w:val="auto"/>
              </w:rPr>
              <w:t>1</w:t>
            </w:r>
          </w:p>
        </w:tc>
        <w:tc>
          <w:tcPr>
            <w:tcW w:w="153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F6740AC">
            <w:pPr>
              <w:jc w:val="center"/>
              <w:rPr>
                <w:rFonts w:hint="eastAsia" w:ascii="仿宋" w:hAnsi="仿宋" w:eastAsia="仿宋" w:cs="仿宋"/>
                <w:color w:val="auto"/>
                <w:sz w:val="22"/>
              </w:rPr>
            </w:pPr>
          </w:p>
        </w:tc>
        <w:tc>
          <w:tcPr>
            <w:tcW w:w="178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8887A4C">
            <w:pPr>
              <w:jc w:val="center"/>
              <w:rPr>
                <w:rFonts w:hint="eastAsia" w:ascii="仿宋" w:hAnsi="仿宋" w:eastAsia="仿宋" w:cs="仿宋"/>
                <w:color w:val="auto"/>
                <w:sz w:val="22"/>
              </w:rPr>
            </w:pPr>
          </w:p>
        </w:tc>
        <w:tc>
          <w:tcPr>
            <w:tcW w:w="143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4FA97930">
            <w:pPr>
              <w:jc w:val="center"/>
              <w:rPr>
                <w:rFonts w:hint="eastAsia" w:ascii="仿宋" w:hAnsi="仿宋" w:eastAsia="仿宋" w:cs="仿宋"/>
                <w:color w:val="auto"/>
                <w:sz w:val="22"/>
              </w:rPr>
            </w:pPr>
          </w:p>
        </w:tc>
        <w:tc>
          <w:tcPr>
            <w:tcW w:w="9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D01FF2D">
            <w:pPr>
              <w:jc w:val="center"/>
              <w:rPr>
                <w:rFonts w:hint="eastAsia" w:ascii="仿宋" w:hAnsi="仿宋" w:eastAsia="仿宋" w:cs="仿宋"/>
                <w:color w:val="auto"/>
                <w:sz w:val="22"/>
              </w:rPr>
            </w:pPr>
          </w:p>
        </w:tc>
        <w:tc>
          <w:tcPr>
            <w:tcW w:w="13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5E71A45">
            <w:pPr>
              <w:jc w:val="center"/>
              <w:rPr>
                <w:rFonts w:hint="eastAsia" w:ascii="仿宋" w:hAnsi="仿宋" w:eastAsia="仿宋" w:cs="仿宋"/>
                <w:color w:val="auto"/>
                <w:sz w:val="22"/>
              </w:rPr>
            </w:pPr>
          </w:p>
        </w:tc>
        <w:tc>
          <w:tcPr>
            <w:tcW w:w="10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05AB96C">
            <w:pPr>
              <w:jc w:val="center"/>
              <w:rPr>
                <w:rFonts w:hint="eastAsia" w:ascii="仿宋" w:hAnsi="仿宋" w:eastAsia="仿宋" w:cs="仿宋"/>
                <w:color w:val="auto"/>
                <w:sz w:val="22"/>
              </w:rPr>
            </w:pPr>
          </w:p>
        </w:tc>
      </w:tr>
      <w:tr w14:paraId="1CADA3E5">
        <w:tblPrEx>
          <w:tblCellMar>
            <w:top w:w="0" w:type="dxa"/>
            <w:left w:w="10" w:type="dxa"/>
            <w:bottom w:w="0" w:type="dxa"/>
            <w:right w:w="10" w:type="dxa"/>
          </w:tblCellMar>
        </w:tblPrEx>
        <w:trPr>
          <w:trHeight w:val="392" w:hRule="atLeast"/>
          <w:jc w:val="center"/>
        </w:trPr>
        <w:tc>
          <w:tcPr>
            <w:tcW w:w="64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D7B1881">
            <w:pPr>
              <w:jc w:val="center"/>
              <w:rPr>
                <w:rFonts w:hint="eastAsia" w:ascii="仿宋" w:hAnsi="仿宋" w:eastAsia="仿宋" w:cs="仿宋"/>
                <w:color w:val="auto"/>
              </w:rPr>
            </w:pPr>
            <w:r>
              <w:rPr>
                <w:rFonts w:hint="eastAsia" w:ascii="仿宋" w:hAnsi="仿宋" w:eastAsia="仿宋" w:cs="仿宋"/>
                <w:b/>
                <w:color w:val="auto"/>
              </w:rPr>
              <w:t>2</w:t>
            </w:r>
          </w:p>
        </w:tc>
        <w:tc>
          <w:tcPr>
            <w:tcW w:w="153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982F9F8">
            <w:pPr>
              <w:jc w:val="center"/>
              <w:rPr>
                <w:rFonts w:hint="eastAsia" w:ascii="仿宋" w:hAnsi="仿宋" w:eastAsia="仿宋" w:cs="仿宋"/>
                <w:color w:val="auto"/>
                <w:sz w:val="22"/>
              </w:rPr>
            </w:pPr>
          </w:p>
        </w:tc>
        <w:tc>
          <w:tcPr>
            <w:tcW w:w="178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23D4576">
            <w:pPr>
              <w:jc w:val="center"/>
              <w:rPr>
                <w:rFonts w:hint="eastAsia" w:ascii="仿宋" w:hAnsi="仿宋" w:eastAsia="仿宋" w:cs="仿宋"/>
                <w:color w:val="auto"/>
                <w:sz w:val="22"/>
              </w:rPr>
            </w:pPr>
          </w:p>
        </w:tc>
        <w:tc>
          <w:tcPr>
            <w:tcW w:w="143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10C5201A">
            <w:pPr>
              <w:jc w:val="center"/>
              <w:rPr>
                <w:rFonts w:hint="eastAsia" w:ascii="仿宋" w:hAnsi="仿宋" w:eastAsia="仿宋" w:cs="仿宋"/>
                <w:color w:val="auto"/>
                <w:sz w:val="22"/>
              </w:rPr>
            </w:pPr>
          </w:p>
        </w:tc>
        <w:tc>
          <w:tcPr>
            <w:tcW w:w="9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A43FDAA">
            <w:pPr>
              <w:jc w:val="center"/>
              <w:rPr>
                <w:rFonts w:hint="eastAsia" w:ascii="仿宋" w:hAnsi="仿宋" w:eastAsia="仿宋" w:cs="仿宋"/>
                <w:color w:val="auto"/>
                <w:sz w:val="22"/>
              </w:rPr>
            </w:pPr>
          </w:p>
        </w:tc>
        <w:tc>
          <w:tcPr>
            <w:tcW w:w="13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5DF24E9">
            <w:pPr>
              <w:jc w:val="center"/>
              <w:rPr>
                <w:rFonts w:hint="eastAsia" w:ascii="仿宋" w:hAnsi="仿宋" w:eastAsia="仿宋" w:cs="仿宋"/>
                <w:color w:val="auto"/>
                <w:sz w:val="22"/>
              </w:rPr>
            </w:pPr>
          </w:p>
        </w:tc>
        <w:tc>
          <w:tcPr>
            <w:tcW w:w="10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E9B6966">
            <w:pPr>
              <w:jc w:val="center"/>
              <w:rPr>
                <w:rFonts w:hint="eastAsia" w:ascii="仿宋" w:hAnsi="仿宋" w:eastAsia="仿宋" w:cs="仿宋"/>
                <w:color w:val="auto"/>
                <w:sz w:val="22"/>
              </w:rPr>
            </w:pPr>
          </w:p>
        </w:tc>
      </w:tr>
      <w:tr w14:paraId="3AE45436">
        <w:tblPrEx>
          <w:tblCellMar>
            <w:top w:w="0" w:type="dxa"/>
            <w:left w:w="10" w:type="dxa"/>
            <w:bottom w:w="0" w:type="dxa"/>
            <w:right w:w="10" w:type="dxa"/>
          </w:tblCellMar>
        </w:tblPrEx>
        <w:trPr>
          <w:trHeight w:val="376" w:hRule="atLeast"/>
          <w:jc w:val="center"/>
        </w:trPr>
        <w:tc>
          <w:tcPr>
            <w:tcW w:w="64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7D38907">
            <w:pPr>
              <w:jc w:val="center"/>
              <w:rPr>
                <w:rFonts w:hint="eastAsia" w:ascii="仿宋" w:hAnsi="仿宋" w:eastAsia="仿宋" w:cs="仿宋"/>
                <w:color w:val="auto"/>
              </w:rPr>
            </w:pPr>
            <w:r>
              <w:rPr>
                <w:rFonts w:hint="eastAsia" w:ascii="仿宋" w:hAnsi="仿宋" w:eastAsia="仿宋" w:cs="仿宋"/>
                <w:b/>
                <w:color w:val="auto"/>
              </w:rPr>
              <w:t>3</w:t>
            </w:r>
          </w:p>
        </w:tc>
        <w:tc>
          <w:tcPr>
            <w:tcW w:w="153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67F7F54">
            <w:pPr>
              <w:jc w:val="center"/>
              <w:rPr>
                <w:rFonts w:hint="eastAsia" w:ascii="仿宋" w:hAnsi="仿宋" w:eastAsia="仿宋" w:cs="仿宋"/>
                <w:color w:val="auto"/>
                <w:sz w:val="22"/>
              </w:rPr>
            </w:pPr>
          </w:p>
        </w:tc>
        <w:tc>
          <w:tcPr>
            <w:tcW w:w="178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9104076">
            <w:pPr>
              <w:jc w:val="center"/>
              <w:rPr>
                <w:rFonts w:hint="eastAsia" w:ascii="仿宋" w:hAnsi="仿宋" w:eastAsia="仿宋" w:cs="仿宋"/>
                <w:color w:val="auto"/>
                <w:sz w:val="22"/>
              </w:rPr>
            </w:pPr>
          </w:p>
        </w:tc>
        <w:tc>
          <w:tcPr>
            <w:tcW w:w="143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5B910F90">
            <w:pPr>
              <w:jc w:val="center"/>
              <w:rPr>
                <w:rFonts w:hint="eastAsia" w:ascii="仿宋" w:hAnsi="仿宋" w:eastAsia="仿宋" w:cs="仿宋"/>
                <w:color w:val="auto"/>
                <w:sz w:val="22"/>
              </w:rPr>
            </w:pPr>
          </w:p>
        </w:tc>
        <w:tc>
          <w:tcPr>
            <w:tcW w:w="9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29C3DAD">
            <w:pPr>
              <w:jc w:val="center"/>
              <w:rPr>
                <w:rFonts w:hint="eastAsia" w:ascii="仿宋" w:hAnsi="仿宋" w:eastAsia="仿宋" w:cs="仿宋"/>
                <w:color w:val="auto"/>
                <w:sz w:val="22"/>
              </w:rPr>
            </w:pPr>
          </w:p>
        </w:tc>
        <w:tc>
          <w:tcPr>
            <w:tcW w:w="13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2708640">
            <w:pPr>
              <w:jc w:val="center"/>
              <w:rPr>
                <w:rFonts w:hint="eastAsia" w:ascii="仿宋" w:hAnsi="仿宋" w:eastAsia="仿宋" w:cs="仿宋"/>
                <w:color w:val="auto"/>
                <w:sz w:val="22"/>
              </w:rPr>
            </w:pPr>
          </w:p>
        </w:tc>
        <w:tc>
          <w:tcPr>
            <w:tcW w:w="10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D9F8AD4">
            <w:pPr>
              <w:jc w:val="center"/>
              <w:rPr>
                <w:rFonts w:hint="eastAsia" w:ascii="仿宋" w:hAnsi="仿宋" w:eastAsia="仿宋" w:cs="仿宋"/>
                <w:color w:val="auto"/>
                <w:sz w:val="22"/>
              </w:rPr>
            </w:pPr>
          </w:p>
        </w:tc>
      </w:tr>
      <w:tr w14:paraId="7CD17355">
        <w:tblPrEx>
          <w:tblCellMar>
            <w:top w:w="0" w:type="dxa"/>
            <w:left w:w="10" w:type="dxa"/>
            <w:bottom w:w="0" w:type="dxa"/>
            <w:right w:w="10" w:type="dxa"/>
          </w:tblCellMar>
        </w:tblPrEx>
        <w:trPr>
          <w:trHeight w:val="376" w:hRule="atLeast"/>
          <w:jc w:val="center"/>
        </w:trPr>
        <w:tc>
          <w:tcPr>
            <w:tcW w:w="64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5F0D5D8">
            <w:pPr>
              <w:jc w:val="center"/>
              <w:rPr>
                <w:rFonts w:hint="eastAsia" w:ascii="仿宋" w:hAnsi="仿宋" w:eastAsia="仿宋" w:cs="仿宋"/>
                <w:color w:val="auto"/>
              </w:rPr>
            </w:pPr>
            <w:r>
              <w:rPr>
                <w:rFonts w:hint="eastAsia" w:ascii="仿宋" w:hAnsi="仿宋" w:eastAsia="仿宋" w:cs="仿宋"/>
                <w:b/>
                <w:color w:val="auto"/>
              </w:rPr>
              <w:t>4</w:t>
            </w:r>
          </w:p>
        </w:tc>
        <w:tc>
          <w:tcPr>
            <w:tcW w:w="153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DD4287E">
            <w:pPr>
              <w:jc w:val="center"/>
              <w:rPr>
                <w:rFonts w:hint="eastAsia" w:ascii="仿宋" w:hAnsi="仿宋" w:eastAsia="仿宋" w:cs="仿宋"/>
                <w:color w:val="auto"/>
                <w:sz w:val="22"/>
              </w:rPr>
            </w:pPr>
          </w:p>
        </w:tc>
        <w:tc>
          <w:tcPr>
            <w:tcW w:w="178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7F1F12D">
            <w:pPr>
              <w:jc w:val="center"/>
              <w:rPr>
                <w:rFonts w:hint="eastAsia" w:ascii="仿宋" w:hAnsi="仿宋" w:eastAsia="仿宋" w:cs="仿宋"/>
                <w:color w:val="auto"/>
                <w:sz w:val="22"/>
              </w:rPr>
            </w:pPr>
          </w:p>
        </w:tc>
        <w:tc>
          <w:tcPr>
            <w:tcW w:w="143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645BC751">
            <w:pPr>
              <w:jc w:val="center"/>
              <w:rPr>
                <w:rFonts w:hint="eastAsia" w:ascii="仿宋" w:hAnsi="仿宋" w:eastAsia="仿宋" w:cs="仿宋"/>
                <w:color w:val="auto"/>
                <w:sz w:val="22"/>
              </w:rPr>
            </w:pPr>
          </w:p>
        </w:tc>
        <w:tc>
          <w:tcPr>
            <w:tcW w:w="9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1E78774">
            <w:pPr>
              <w:jc w:val="center"/>
              <w:rPr>
                <w:rFonts w:hint="eastAsia" w:ascii="仿宋" w:hAnsi="仿宋" w:eastAsia="仿宋" w:cs="仿宋"/>
                <w:color w:val="auto"/>
                <w:sz w:val="22"/>
              </w:rPr>
            </w:pPr>
          </w:p>
        </w:tc>
        <w:tc>
          <w:tcPr>
            <w:tcW w:w="13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25D93E2">
            <w:pPr>
              <w:jc w:val="center"/>
              <w:rPr>
                <w:rFonts w:hint="eastAsia" w:ascii="仿宋" w:hAnsi="仿宋" w:eastAsia="仿宋" w:cs="仿宋"/>
                <w:color w:val="auto"/>
                <w:sz w:val="22"/>
              </w:rPr>
            </w:pPr>
          </w:p>
        </w:tc>
        <w:tc>
          <w:tcPr>
            <w:tcW w:w="10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43CA064">
            <w:pPr>
              <w:jc w:val="center"/>
              <w:rPr>
                <w:rFonts w:hint="eastAsia" w:ascii="仿宋" w:hAnsi="仿宋" w:eastAsia="仿宋" w:cs="仿宋"/>
                <w:color w:val="auto"/>
                <w:sz w:val="22"/>
              </w:rPr>
            </w:pPr>
          </w:p>
        </w:tc>
      </w:tr>
      <w:tr w14:paraId="694BF934">
        <w:tblPrEx>
          <w:tblCellMar>
            <w:top w:w="0" w:type="dxa"/>
            <w:left w:w="10" w:type="dxa"/>
            <w:bottom w:w="0" w:type="dxa"/>
            <w:right w:w="10" w:type="dxa"/>
          </w:tblCellMar>
        </w:tblPrEx>
        <w:trPr>
          <w:cantSplit/>
          <w:trHeight w:val="558" w:hRule="atLeast"/>
          <w:jc w:val="center"/>
        </w:trPr>
        <w:tc>
          <w:tcPr>
            <w:tcW w:w="8757" w:type="dxa"/>
            <w:gridSpan w:val="7"/>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C1523E4">
            <w:pPr>
              <w:rPr>
                <w:rFonts w:hint="eastAsia" w:ascii="仿宋" w:hAnsi="仿宋" w:eastAsia="仿宋" w:cs="仿宋"/>
                <w:color w:val="auto"/>
              </w:rPr>
            </w:pPr>
            <w:r>
              <w:rPr>
                <w:rFonts w:hint="eastAsia" w:ascii="仿宋" w:hAnsi="仿宋" w:eastAsia="仿宋" w:cs="仿宋"/>
                <w:b/>
                <w:color w:val="auto"/>
              </w:rPr>
              <w:t xml:space="preserve"> 合计总价（人民币大写 ）：                         （小写）　:              元</w:t>
            </w:r>
          </w:p>
        </w:tc>
      </w:tr>
      <w:tr w14:paraId="71521B8A">
        <w:tblPrEx>
          <w:tblCellMar>
            <w:top w:w="0" w:type="dxa"/>
            <w:left w:w="10" w:type="dxa"/>
            <w:bottom w:w="0" w:type="dxa"/>
            <w:right w:w="10" w:type="dxa"/>
          </w:tblCellMar>
        </w:tblPrEx>
        <w:trPr>
          <w:trHeight w:val="682" w:hRule="atLeast"/>
          <w:jc w:val="center"/>
        </w:trPr>
        <w:tc>
          <w:tcPr>
            <w:tcW w:w="8757" w:type="dxa"/>
            <w:gridSpan w:val="7"/>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4FB36B0">
            <w:pPr>
              <w:rPr>
                <w:rFonts w:hint="eastAsia" w:ascii="仿宋" w:hAnsi="仿宋" w:eastAsia="仿宋" w:cs="仿宋"/>
                <w:color w:val="auto"/>
              </w:rPr>
            </w:pPr>
            <w:r>
              <w:rPr>
                <w:rFonts w:hint="eastAsia" w:ascii="仿宋" w:hAnsi="仿宋" w:eastAsia="仿宋" w:cs="仿宋"/>
                <w:bCs/>
                <w:color w:val="auto"/>
              </w:rPr>
              <w:t>注：以上价款均包含货物费(含备品备件费)、包装费、运杂费(含搬运、装卸、保险费等)、工程费、材料费、全部税 费、安装调试费等相关费用。</w:t>
            </w:r>
          </w:p>
        </w:tc>
      </w:tr>
    </w:tbl>
    <w:p w14:paraId="695617DC">
      <w:pPr>
        <w:spacing w:line="360" w:lineRule="auto"/>
        <w:ind w:firstLine="482" w:firstLineChars="200"/>
        <w:rPr>
          <w:rFonts w:hint="eastAsia" w:ascii="仿宋" w:hAnsi="仿宋" w:eastAsia="仿宋" w:cs="仿宋"/>
          <w:b/>
          <w:bCs/>
          <w:color w:val="auto"/>
          <w:sz w:val="24"/>
        </w:rPr>
      </w:pPr>
      <w:r>
        <w:rPr>
          <w:rFonts w:hint="eastAsia" w:ascii="仿宋" w:hAnsi="仿宋" w:eastAsia="仿宋" w:cs="仿宋"/>
          <w:b/>
          <w:bCs/>
          <w:color w:val="auto"/>
          <w:sz w:val="24"/>
        </w:rPr>
        <w:t>2.其他内容：</w:t>
      </w:r>
    </w:p>
    <w:p w14:paraId="3C55AE8B">
      <w:pPr>
        <w:spacing w:line="360" w:lineRule="auto"/>
        <w:ind w:firstLine="482" w:firstLineChars="200"/>
        <w:rPr>
          <w:rFonts w:hint="eastAsia" w:ascii="仿宋" w:hAnsi="仿宋" w:eastAsia="仿宋" w:cs="仿宋"/>
          <w:b/>
          <w:bCs/>
          <w:color w:val="auto"/>
          <w:sz w:val="24"/>
        </w:rPr>
      </w:pPr>
      <w:r>
        <w:rPr>
          <w:rFonts w:hint="eastAsia" w:ascii="仿宋" w:hAnsi="仿宋" w:eastAsia="仿宋" w:cs="仿宋"/>
          <w:b/>
          <w:bCs/>
          <w:color w:val="auto"/>
          <w:sz w:val="24"/>
        </w:rPr>
        <w:t>3.技术要求、商务要求：</w:t>
      </w:r>
      <w:r>
        <w:rPr>
          <w:rFonts w:hint="eastAsia" w:ascii="仿宋" w:hAnsi="仿宋" w:eastAsia="仿宋" w:cs="仿宋"/>
          <w:color w:val="auto"/>
          <w:sz w:val="24"/>
        </w:rPr>
        <w:t>详见附件。</w:t>
      </w:r>
    </w:p>
    <w:p w14:paraId="4B22A4C3">
      <w:pPr>
        <w:spacing w:line="360" w:lineRule="auto"/>
        <w:ind w:firstLine="482" w:firstLineChars="200"/>
        <w:rPr>
          <w:rFonts w:hint="eastAsia" w:ascii="仿宋" w:hAnsi="仿宋" w:eastAsia="仿宋" w:cs="仿宋"/>
          <w:color w:val="auto"/>
          <w:sz w:val="24"/>
        </w:rPr>
      </w:pPr>
      <w:r>
        <w:rPr>
          <w:rFonts w:hint="eastAsia" w:ascii="仿宋" w:hAnsi="仿宋" w:eastAsia="仿宋" w:cs="仿宋"/>
          <w:b/>
          <w:bCs/>
          <w:color w:val="auto"/>
          <w:sz w:val="24"/>
        </w:rPr>
        <w:t>二、交付与运输</w:t>
      </w:r>
    </w:p>
    <w:p w14:paraId="6D8A5698">
      <w:pPr>
        <w:spacing w:line="360" w:lineRule="auto"/>
        <w:ind w:firstLine="482" w:firstLineChars="200"/>
        <w:rPr>
          <w:rFonts w:hint="eastAsia" w:ascii="仿宋" w:hAnsi="仿宋" w:eastAsia="仿宋" w:cs="仿宋"/>
          <w:color w:val="auto"/>
          <w:sz w:val="24"/>
        </w:rPr>
      </w:pPr>
      <w:r>
        <w:rPr>
          <w:rFonts w:hint="eastAsia" w:ascii="仿宋" w:hAnsi="仿宋" w:eastAsia="仿宋" w:cs="仿宋"/>
          <w:b/>
          <w:bCs/>
          <w:color w:val="auto"/>
          <w:sz w:val="24"/>
        </w:rPr>
        <w:t>1.交付时间：</w:t>
      </w:r>
      <w:r>
        <w:rPr>
          <w:rFonts w:hint="eastAsia" w:ascii="仿宋" w:hAnsi="仿宋" w:eastAsia="仿宋" w:cs="仿宋"/>
          <w:color w:val="auto"/>
          <w:sz w:val="24"/>
        </w:rPr>
        <w:t>乙方应于____年____月____日前将本合同项下全部设备交付给甲方。允许的合理宽限期为____日，超过此期限仍未交付的，构成延迟交货违约。</w:t>
      </w:r>
    </w:p>
    <w:p w14:paraId="11458D6D">
      <w:pPr>
        <w:spacing w:line="360" w:lineRule="auto"/>
        <w:ind w:firstLine="482" w:firstLineChars="200"/>
        <w:rPr>
          <w:rFonts w:hint="eastAsia" w:ascii="仿宋" w:hAnsi="仿宋" w:eastAsia="仿宋" w:cs="仿宋"/>
          <w:color w:val="auto"/>
          <w:sz w:val="24"/>
        </w:rPr>
      </w:pPr>
      <w:r>
        <w:rPr>
          <w:rFonts w:hint="eastAsia" w:ascii="仿宋" w:hAnsi="仿宋" w:eastAsia="仿宋" w:cs="仿宋"/>
          <w:b/>
          <w:bCs/>
          <w:color w:val="auto"/>
          <w:sz w:val="24"/>
        </w:rPr>
        <w:t>2.交付地点：</w:t>
      </w:r>
      <w:r>
        <w:rPr>
          <w:rFonts w:hint="eastAsia" w:ascii="仿宋" w:hAnsi="仿宋" w:eastAsia="仿宋" w:cs="仿宋"/>
          <w:color w:val="auto"/>
          <w:sz w:val="24"/>
        </w:rPr>
        <w:t>西安理工大学指定位置</w:t>
      </w:r>
      <w:r>
        <w:rPr>
          <w:rFonts w:hint="eastAsia" w:ascii="仿宋" w:hAnsi="仿宋" w:eastAsia="仿宋" w:cs="仿宋"/>
          <w:color w:val="auto"/>
          <w:sz w:val="24"/>
          <w:u w:val="single"/>
        </w:rPr>
        <w:t xml:space="preserve"> 西安理工大学曲江校区教九-105 。</w:t>
      </w:r>
    </w:p>
    <w:p w14:paraId="77BBD991">
      <w:pPr>
        <w:spacing w:line="360" w:lineRule="auto"/>
        <w:ind w:firstLine="482" w:firstLineChars="200"/>
        <w:rPr>
          <w:rFonts w:hint="eastAsia" w:ascii="仿宋" w:hAnsi="仿宋" w:eastAsia="仿宋" w:cs="仿宋"/>
          <w:color w:val="auto"/>
          <w:sz w:val="24"/>
        </w:rPr>
      </w:pPr>
      <w:r>
        <w:rPr>
          <w:rFonts w:hint="eastAsia" w:ascii="仿宋" w:hAnsi="仿宋" w:eastAsia="仿宋" w:cs="仿宋"/>
          <w:b/>
          <w:bCs/>
          <w:color w:val="auto"/>
          <w:sz w:val="24"/>
        </w:rPr>
        <w:t>3.运输与保险责任：</w:t>
      </w:r>
      <w:r>
        <w:rPr>
          <w:rFonts w:hint="eastAsia" w:ascii="仿宋" w:hAnsi="仿宋" w:eastAsia="仿宋" w:cs="仿宋"/>
          <w:color w:val="auto"/>
          <w:sz w:val="24"/>
        </w:rPr>
        <w:t>乙方通过________________方式交付设备，并负责本合同项下设备的全程运输、装卸及保险事宜，并承担相应费用。定制产品设备毁损、灭失的风险，自设备在交付地点完成安装调试并经甲方最终验收合格后转移至甲方；非定制产品设备毁损、灭失的风险，自设备在交付地点经甲方授权代表签收后转移至甲方。</w:t>
      </w:r>
    </w:p>
    <w:p w14:paraId="68D60F95">
      <w:pPr>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rPr>
        <w:t>4.乙方交付设备时需同时移交技术文件及商业单证，包括但不限于保险单、装箱单、产品合格证、质量保证书、使用说明书、保修卡、原产地证明书（进口设备）、报关单（进口设备）、电路图、维护手册、安装图纸等，否则甲方有权拒收且不视为乙方完成交付。</w:t>
      </w:r>
    </w:p>
    <w:p w14:paraId="1B46C6D4">
      <w:pPr>
        <w:spacing w:line="360" w:lineRule="auto"/>
        <w:ind w:firstLine="482" w:firstLineChars="200"/>
        <w:rPr>
          <w:rFonts w:hint="eastAsia" w:ascii="仿宋" w:hAnsi="仿宋" w:eastAsia="仿宋" w:cs="仿宋"/>
          <w:color w:val="auto"/>
          <w:sz w:val="24"/>
        </w:rPr>
      </w:pPr>
      <w:r>
        <w:rPr>
          <w:rFonts w:hint="eastAsia" w:ascii="仿宋" w:hAnsi="仿宋" w:eastAsia="仿宋" w:cs="仿宋"/>
          <w:b/>
          <w:bCs/>
          <w:color w:val="auto"/>
          <w:sz w:val="24"/>
        </w:rPr>
        <w:t>三、支付方式</w:t>
      </w:r>
      <w:r>
        <w:rPr>
          <w:rFonts w:hint="eastAsia" w:ascii="仿宋" w:hAnsi="仿宋" w:eastAsia="仿宋" w:cs="仿宋"/>
          <w:color w:val="auto"/>
          <w:sz w:val="24"/>
        </w:rPr>
        <w:t>：按以下第_</w:t>
      </w:r>
      <w:r>
        <w:rPr>
          <w:rFonts w:hint="eastAsia" w:ascii="仿宋" w:hAnsi="仿宋" w:eastAsia="仿宋" w:cs="仿宋"/>
          <w:color w:val="auto"/>
          <w:sz w:val="24"/>
          <w:u w:val="single"/>
        </w:rPr>
        <w:t>（2）</w:t>
      </w:r>
      <w:r>
        <w:rPr>
          <w:rFonts w:hint="eastAsia" w:ascii="仿宋" w:hAnsi="仿宋" w:eastAsia="仿宋" w:cs="仿宋"/>
          <w:color w:val="auto"/>
          <w:sz w:val="24"/>
        </w:rPr>
        <w:t>_种方式进行支付。</w:t>
      </w:r>
    </w:p>
    <w:p w14:paraId="608B92AF">
      <w:pPr>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rPr>
        <w:t>（1）乙方按照合同规定期限内供货、调试完成，经甲方最终验收合格并签署《验收合格报告》后7个工作日内，向乙方支付全部合同款项。乙方应在甲方付款前，向甲方开具全额合法有效的增值税专用发票。(适用于供货期30天内的采购合同)</w:t>
      </w:r>
    </w:p>
    <w:p w14:paraId="068A6412">
      <w:pPr>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rPr>
        <w:t>（2）合同签订后5个工作日内，甲方向乙方预付合同总价的40%；设备运抵甲方指定地点并经甲方初步查验无误后7个工作日内，甲方向乙方支付合同总价的30%；设备安装调试完成，经甲方验收合格并签署《验收合格报告》后，乙方开具全额合法有效的增值税专用发票，甲方7个工作日内向乙方支付合同总价的30%。(适用于供货期30天-90天的采购合同)</w:t>
      </w:r>
    </w:p>
    <w:p w14:paraId="2C510308">
      <w:pPr>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rPr>
        <w:t>（3）合同签订后5个工作日内，甲方向乙方支付合同总价的40%；设备运抵甲方指定地点并经甲方初步查验无误后，乙方按照剩余合同额向甲方开具不可撤销、见索即付的银行保函，甲方收到银行保函正本后5个工作日内向乙方支付等额款项；设备安装调试完成，经甲方验收合格并签署《验收合格报告》后，乙方开具增值税专用发票，甲方5个工作日内向乙方退还不可撤销、见索即付的银行保函正本。（适用于90天以上的采购合同）</w:t>
      </w:r>
    </w:p>
    <w:p w14:paraId="69B4B954">
      <w:pPr>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rPr>
        <w:t>（4）其他付款方式：</w:t>
      </w:r>
      <w:r>
        <w:rPr>
          <w:rFonts w:hint="eastAsia" w:ascii="仿宋" w:hAnsi="仿宋" w:eastAsia="仿宋" w:cs="仿宋"/>
          <w:color w:val="auto"/>
          <w:sz w:val="24"/>
          <w:u w:val="single"/>
        </w:rPr>
        <w:t xml:space="preserve">   /    </w:t>
      </w:r>
      <w:r>
        <w:rPr>
          <w:rFonts w:hint="eastAsia" w:ascii="仿宋" w:hAnsi="仿宋" w:eastAsia="仿宋" w:cs="仿宋"/>
          <w:color w:val="auto"/>
          <w:sz w:val="24"/>
        </w:rPr>
        <w:t>。</w:t>
      </w:r>
    </w:p>
    <w:p w14:paraId="232E709C">
      <w:pPr>
        <w:spacing w:line="360" w:lineRule="auto"/>
        <w:ind w:firstLine="482" w:firstLineChars="200"/>
        <w:rPr>
          <w:rFonts w:hint="eastAsia" w:ascii="仿宋" w:hAnsi="仿宋" w:eastAsia="仿宋" w:cs="仿宋"/>
          <w:b/>
          <w:bCs/>
          <w:color w:val="auto"/>
          <w:sz w:val="24"/>
        </w:rPr>
      </w:pPr>
      <w:r>
        <w:rPr>
          <w:rFonts w:hint="eastAsia" w:ascii="仿宋" w:hAnsi="仿宋" w:eastAsia="仿宋" w:cs="仿宋"/>
          <w:b/>
          <w:bCs/>
          <w:color w:val="auto"/>
          <w:sz w:val="24"/>
        </w:rPr>
        <w:t>四、履约保证金：</w:t>
      </w:r>
      <w:r>
        <w:rPr>
          <w:rFonts w:hint="eastAsia" w:ascii="仿宋" w:hAnsi="仿宋" w:eastAsia="仿宋" w:cs="仿宋"/>
          <w:color w:val="auto"/>
          <w:sz w:val="24"/>
        </w:rPr>
        <w:t>合同签订后5个工作日内，乙方向甲方支付______元（大写：______________）作为履约保证金（合同金额5%）。合同标的物经甲方验收合格后5 个工作日内，甲方将上述保证金无息全额退还乙方。若乙方存在违约、给甲方造成损失或应承担违约金/赔偿金，甲方有权直接从履约保证金中抵扣对应金额，且乙方应在甲方通知后___个工作日内补足履约保证金；履约保证金不足以覆盖的部分，乙方仍应在甲方通知后___个工作日内补足差额。</w:t>
      </w:r>
    </w:p>
    <w:p w14:paraId="1AA2195F">
      <w:pPr>
        <w:spacing w:line="360" w:lineRule="auto"/>
        <w:ind w:firstLine="482" w:firstLineChars="200"/>
        <w:rPr>
          <w:rFonts w:hint="eastAsia" w:ascii="仿宋" w:hAnsi="仿宋" w:eastAsia="仿宋" w:cs="仿宋"/>
          <w:b/>
          <w:bCs/>
          <w:color w:val="auto"/>
          <w:sz w:val="24"/>
        </w:rPr>
      </w:pPr>
      <w:r>
        <w:rPr>
          <w:rFonts w:hint="eastAsia" w:ascii="仿宋" w:hAnsi="仿宋" w:eastAsia="仿宋" w:cs="仿宋"/>
          <w:b/>
          <w:bCs/>
          <w:color w:val="auto"/>
          <w:sz w:val="24"/>
        </w:rPr>
        <w:t>五、安装与调试</w:t>
      </w:r>
    </w:p>
    <w:p w14:paraId="752C8B27">
      <w:pPr>
        <w:spacing w:line="360" w:lineRule="auto"/>
        <w:ind w:firstLine="482" w:firstLineChars="200"/>
        <w:rPr>
          <w:rFonts w:hint="eastAsia" w:ascii="仿宋" w:hAnsi="仿宋" w:eastAsia="仿宋" w:cs="仿宋"/>
          <w:color w:val="auto"/>
          <w:sz w:val="24"/>
        </w:rPr>
      </w:pPr>
      <w:r>
        <w:rPr>
          <w:rFonts w:hint="eastAsia" w:ascii="仿宋" w:hAnsi="仿宋" w:eastAsia="仿宋" w:cs="仿宋"/>
          <w:b/>
          <w:bCs/>
          <w:color w:val="auto"/>
          <w:sz w:val="24"/>
        </w:rPr>
        <w:t>1.安装调试服务：</w:t>
      </w:r>
      <w:r>
        <w:rPr>
          <w:rFonts w:hint="eastAsia" w:ascii="仿宋" w:hAnsi="仿宋" w:eastAsia="仿宋" w:cs="仿宋"/>
          <w:color w:val="auto"/>
          <w:sz w:val="24"/>
        </w:rPr>
        <w:t>如设备需要安装调试，乙方应在设备交付至甲方指定地点后______日内，派遣合格技术人员免费完成安装、调试及基础校准工作，确保设备达到合同约定的技术状态。若设备无需安装调试，乙方应在本合同签订后______日内向甲方出具书面说明。</w:t>
      </w:r>
    </w:p>
    <w:p w14:paraId="4B9ED53B">
      <w:pPr>
        <w:spacing w:line="360" w:lineRule="auto"/>
        <w:ind w:firstLine="482" w:firstLineChars="200"/>
        <w:rPr>
          <w:rFonts w:hint="eastAsia" w:ascii="仿宋" w:hAnsi="仿宋" w:eastAsia="仿宋" w:cs="仿宋"/>
          <w:color w:val="auto"/>
          <w:sz w:val="24"/>
        </w:rPr>
      </w:pPr>
      <w:r>
        <w:rPr>
          <w:rFonts w:hint="eastAsia" w:ascii="仿宋" w:hAnsi="仿宋" w:eastAsia="仿宋" w:cs="仿宋"/>
          <w:b/>
          <w:bCs/>
          <w:color w:val="auto"/>
          <w:sz w:val="24"/>
        </w:rPr>
        <w:t>2.安装环境配合：</w:t>
      </w:r>
      <w:r>
        <w:rPr>
          <w:rFonts w:hint="eastAsia" w:ascii="仿宋" w:hAnsi="仿宋" w:eastAsia="仿宋" w:cs="仿宋"/>
          <w:color w:val="auto"/>
          <w:sz w:val="24"/>
        </w:rPr>
        <w:t>甲方负责提供设备安装所需的电力、场地等基础条件。乙方应提前______日书面告知甲方具体的安装环境要求（如承重、温湿度、洁净度、电源规格等），因乙方未及时、准确告知而导致安装延误或产生额外费用、给甲方造成损失的，由乙方承担责任。</w:t>
      </w:r>
    </w:p>
    <w:p w14:paraId="7B2D92EA">
      <w:pPr>
        <w:spacing w:line="360" w:lineRule="auto"/>
        <w:ind w:firstLine="482" w:firstLineChars="200"/>
        <w:rPr>
          <w:rFonts w:hint="eastAsia" w:ascii="仿宋" w:hAnsi="仿宋" w:eastAsia="仿宋" w:cs="仿宋"/>
          <w:color w:val="auto"/>
          <w:sz w:val="24"/>
        </w:rPr>
      </w:pPr>
      <w:r>
        <w:rPr>
          <w:rFonts w:hint="eastAsia" w:ascii="仿宋" w:hAnsi="仿宋" w:eastAsia="仿宋" w:cs="仿宋"/>
          <w:b/>
          <w:bCs/>
          <w:color w:val="auto"/>
          <w:sz w:val="24"/>
        </w:rPr>
        <w:t>六、验收标准</w:t>
      </w:r>
    </w:p>
    <w:p w14:paraId="54D576F9">
      <w:pPr>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rPr>
        <w:t>1.乙方按合同约定完成全部设备交付、安装调试并自检合格后，应向甲方提交书面验收申请及完整验收资料。甲方收到合格验收资料后，组织验收，验收质量按招标文件的采购参数内容、本合同及附件约定的采购参数、技术要求验收。</w:t>
      </w:r>
    </w:p>
    <w:p w14:paraId="4C1DC729">
      <w:pPr>
        <w:pStyle w:val="5"/>
        <w:spacing w:line="360" w:lineRule="auto"/>
        <w:ind w:firstLine="480" w:firstLineChars="200"/>
        <w:outlineLvl w:val="3"/>
        <w:rPr>
          <w:rFonts w:ascii="仿宋" w:hAnsi="仿宋" w:eastAsia="仿宋" w:cs="仿宋"/>
          <w:color w:val="auto"/>
          <w:sz w:val="24"/>
        </w:rPr>
      </w:pPr>
      <w:r>
        <w:rPr>
          <w:rFonts w:ascii="仿宋" w:hAnsi="仿宋" w:eastAsia="仿宋" w:cs="仿宋"/>
          <w:color w:val="auto"/>
          <w:sz w:val="24"/>
          <w:lang w:eastAsia="zh-CN"/>
        </w:rPr>
        <w:t>2.若设备验收不合格，乙方应在收到甲方书面通知后</w:t>
      </w:r>
      <w:r>
        <w:rPr>
          <w:rFonts w:ascii="仿宋" w:hAnsi="仿宋" w:eastAsia="仿宋" w:cs="仿宋"/>
          <w:color w:val="auto"/>
          <w:sz w:val="24"/>
          <w:u w:val="single"/>
          <w:lang w:eastAsia="zh-CN"/>
        </w:rPr>
        <w:t xml:space="preserve"> 15 </w:t>
      </w:r>
      <w:r>
        <w:rPr>
          <w:rFonts w:ascii="仿宋" w:hAnsi="仿宋" w:eastAsia="仿宋" w:cs="仿宋"/>
          <w:color w:val="auto"/>
          <w:sz w:val="24"/>
          <w:lang w:eastAsia="zh-CN"/>
        </w:rPr>
        <w:t>日内免费进行整改，并申请甲方复验。若</w:t>
      </w:r>
      <w:r>
        <w:rPr>
          <w:rFonts w:ascii="仿宋" w:hAnsi="仿宋" w:eastAsia="仿宋" w:cs="仿宋"/>
          <w:color w:val="auto"/>
          <w:sz w:val="24"/>
        </w:rPr>
        <w:t>乙方未在规定期限内完成整改或拒绝整改，视为乙方根本违约，甲方有权直接解除合同、要求退货并追究乙方违约责任；若</w:t>
      </w:r>
      <w:r>
        <w:rPr>
          <w:rFonts w:ascii="仿宋" w:hAnsi="仿宋" w:eastAsia="仿宋" w:cs="仿宋"/>
          <w:color w:val="auto"/>
          <w:sz w:val="24"/>
          <w:lang w:eastAsia="zh-CN"/>
        </w:rPr>
        <w:t>复验仍不合格，甲方有权选择单方解除合同、要求退货，并要求乙方赔偿因此给甲方造成的全部损失。</w:t>
      </w:r>
      <w:r>
        <w:rPr>
          <w:rFonts w:ascii="仿宋" w:hAnsi="仿宋" w:eastAsia="仿宋" w:cs="仿宋"/>
          <w:color w:val="auto"/>
          <w:sz w:val="24"/>
        </w:rPr>
        <w:t>甲方也有权选择要求乙方更换合格设备，由此产生的所有费用由乙方承担，且更换后的设备质保期自新设备验收合格之日起重新计算。</w:t>
      </w:r>
    </w:p>
    <w:p w14:paraId="165B7B11">
      <w:pPr>
        <w:pStyle w:val="5"/>
        <w:spacing w:line="360" w:lineRule="auto"/>
        <w:outlineLvl w:val="3"/>
        <w:rPr>
          <w:rFonts w:ascii="仿宋" w:hAnsi="仿宋" w:eastAsia="仿宋" w:cs="仿宋"/>
          <w:color w:val="auto"/>
          <w:sz w:val="24"/>
          <w:szCs w:val="24"/>
          <w:lang w:eastAsia="zh-CN"/>
        </w:rPr>
      </w:pPr>
      <w:r>
        <w:rPr>
          <w:rFonts w:ascii="仿宋" w:hAnsi="仿宋" w:eastAsia="仿宋" w:cs="仿宋"/>
          <w:color w:val="auto"/>
          <w:sz w:val="24"/>
          <w:szCs w:val="24"/>
          <w:lang w:eastAsia="zh-CN"/>
        </w:rPr>
        <w:t>3.其他要求：</w:t>
      </w:r>
    </w:p>
    <w:p w14:paraId="064A6D77">
      <w:pPr>
        <w:pStyle w:val="5"/>
        <w:spacing w:line="360" w:lineRule="auto"/>
        <w:outlineLvl w:val="3"/>
        <w:rPr>
          <w:rFonts w:ascii="仿宋" w:hAnsi="仿宋" w:eastAsia="仿宋" w:cs="仿宋"/>
          <w:color w:val="auto"/>
          <w:sz w:val="24"/>
          <w:szCs w:val="24"/>
        </w:rPr>
      </w:pPr>
      <w:r>
        <w:rPr>
          <w:rFonts w:ascii="仿宋" w:hAnsi="仿宋" w:eastAsia="仿宋" w:cs="仿宋"/>
          <w:color w:val="auto"/>
          <w:sz w:val="24"/>
          <w:szCs w:val="24"/>
        </w:rPr>
        <w:t>（1）验收依据</w:t>
      </w:r>
    </w:p>
    <w:p w14:paraId="24A6279C">
      <w:pPr>
        <w:pStyle w:val="5"/>
        <w:spacing w:line="360" w:lineRule="auto"/>
        <w:outlineLvl w:val="3"/>
        <w:rPr>
          <w:rFonts w:ascii="仿宋" w:hAnsi="仿宋" w:eastAsia="仿宋" w:cs="仿宋"/>
          <w:color w:val="auto"/>
          <w:sz w:val="24"/>
          <w:szCs w:val="24"/>
        </w:rPr>
      </w:pPr>
      <w:r>
        <w:rPr>
          <w:rFonts w:ascii="仿宋" w:hAnsi="仿宋" w:eastAsia="仿宋" w:cs="仿宋"/>
          <w:color w:val="auto"/>
          <w:sz w:val="24"/>
          <w:szCs w:val="24"/>
        </w:rPr>
        <w:t>招标文件、投标文件及技术澄清文件（函））；</w:t>
      </w:r>
    </w:p>
    <w:p w14:paraId="31994368">
      <w:pPr>
        <w:pStyle w:val="5"/>
        <w:spacing w:line="360" w:lineRule="auto"/>
        <w:outlineLvl w:val="3"/>
        <w:rPr>
          <w:rFonts w:ascii="仿宋" w:hAnsi="仿宋" w:eastAsia="仿宋" w:cs="仿宋"/>
          <w:color w:val="auto"/>
          <w:sz w:val="24"/>
          <w:szCs w:val="24"/>
        </w:rPr>
      </w:pPr>
      <w:r>
        <w:rPr>
          <w:rFonts w:ascii="仿宋" w:hAnsi="仿宋" w:eastAsia="仿宋" w:cs="仿宋"/>
          <w:color w:val="auto"/>
          <w:sz w:val="24"/>
          <w:szCs w:val="24"/>
        </w:rPr>
        <w:t>国家/行业标准、规范（如GB、ISO、IEC等）。</w:t>
      </w:r>
    </w:p>
    <w:p w14:paraId="532D9CD6">
      <w:pPr>
        <w:pStyle w:val="5"/>
        <w:spacing w:line="360" w:lineRule="auto"/>
        <w:outlineLvl w:val="3"/>
        <w:rPr>
          <w:rFonts w:ascii="仿宋" w:hAnsi="仿宋" w:eastAsia="仿宋" w:cs="仿宋"/>
          <w:color w:val="auto"/>
          <w:sz w:val="24"/>
          <w:szCs w:val="24"/>
        </w:rPr>
      </w:pPr>
      <w:r>
        <w:rPr>
          <w:rFonts w:ascii="仿宋" w:hAnsi="仿宋" w:eastAsia="仿宋" w:cs="仿宋"/>
          <w:color w:val="auto"/>
          <w:sz w:val="24"/>
          <w:szCs w:val="24"/>
        </w:rPr>
        <w:t>（2）验收流程</w:t>
      </w:r>
    </w:p>
    <w:p w14:paraId="76C5C5D9">
      <w:pPr>
        <w:pStyle w:val="5"/>
        <w:spacing w:line="360" w:lineRule="auto"/>
        <w:outlineLvl w:val="3"/>
        <w:rPr>
          <w:rFonts w:ascii="仿宋" w:hAnsi="仿宋" w:eastAsia="仿宋" w:cs="仿宋"/>
          <w:color w:val="auto"/>
          <w:sz w:val="24"/>
          <w:szCs w:val="24"/>
        </w:rPr>
      </w:pPr>
      <w:r>
        <w:rPr>
          <w:rFonts w:ascii="仿宋" w:hAnsi="仿宋" w:eastAsia="仿宋" w:cs="仿宋"/>
          <w:color w:val="auto"/>
          <w:sz w:val="24"/>
          <w:szCs w:val="24"/>
        </w:rPr>
        <w:t>①到货初检（采购人、中标人共同参与）：</w:t>
      </w:r>
    </w:p>
    <w:p w14:paraId="6467DCA1">
      <w:pPr>
        <w:pStyle w:val="5"/>
        <w:spacing w:line="360" w:lineRule="auto"/>
        <w:outlineLvl w:val="3"/>
        <w:rPr>
          <w:rFonts w:ascii="仿宋" w:hAnsi="仿宋" w:eastAsia="仿宋" w:cs="仿宋"/>
          <w:color w:val="auto"/>
          <w:sz w:val="24"/>
          <w:szCs w:val="24"/>
        </w:rPr>
      </w:pPr>
      <w:r>
        <w:rPr>
          <w:rFonts w:ascii="仿宋" w:hAnsi="仿宋" w:eastAsia="仿宋" w:cs="仿宋"/>
          <w:color w:val="auto"/>
          <w:sz w:val="24"/>
          <w:szCs w:val="24"/>
        </w:rPr>
        <w:t>检查外包装完整性、防伪标识、运输损伤情况；</w:t>
      </w:r>
    </w:p>
    <w:p w14:paraId="080F15B9">
      <w:pPr>
        <w:pStyle w:val="5"/>
        <w:spacing w:line="360" w:lineRule="auto"/>
        <w:outlineLvl w:val="3"/>
        <w:rPr>
          <w:rFonts w:ascii="仿宋" w:hAnsi="仿宋" w:eastAsia="仿宋" w:cs="仿宋"/>
          <w:color w:val="auto"/>
          <w:sz w:val="24"/>
          <w:szCs w:val="24"/>
        </w:rPr>
      </w:pPr>
      <w:r>
        <w:rPr>
          <w:rFonts w:ascii="仿宋" w:hAnsi="仿宋" w:eastAsia="仿宋" w:cs="仿宋"/>
          <w:color w:val="auto"/>
          <w:sz w:val="24"/>
          <w:szCs w:val="24"/>
        </w:rPr>
        <w:t>核对货物型号、数量、规格是否与合同一致；</w:t>
      </w:r>
    </w:p>
    <w:p w14:paraId="58E3FF8F">
      <w:pPr>
        <w:pStyle w:val="5"/>
        <w:spacing w:line="360" w:lineRule="auto"/>
        <w:outlineLvl w:val="3"/>
        <w:rPr>
          <w:rFonts w:ascii="仿宋" w:hAnsi="仿宋" w:eastAsia="仿宋" w:cs="仿宋"/>
          <w:color w:val="auto"/>
          <w:sz w:val="24"/>
          <w:szCs w:val="24"/>
        </w:rPr>
      </w:pPr>
      <w:r>
        <w:rPr>
          <w:rFonts w:ascii="仿宋" w:hAnsi="仿宋" w:eastAsia="仿宋" w:cs="仿宋"/>
          <w:color w:val="auto"/>
          <w:sz w:val="24"/>
          <w:szCs w:val="24"/>
        </w:rPr>
        <w:t>检查随机文件（合格证、说明书、保修卡等）。</w:t>
      </w:r>
    </w:p>
    <w:p w14:paraId="3A52F490">
      <w:pPr>
        <w:pStyle w:val="5"/>
        <w:spacing w:line="360" w:lineRule="auto"/>
        <w:outlineLvl w:val="3"/>
        <w:rPr>
          <w:rFonts w:ascii="仿宋" w:hAnsi="仿宋" w:eastAsia="仿宋" w:cs="仿宋"/>
          <w:color w:val="auto"/>
          <w:sz w:val="24"/>
          <w:szCs w:val="24"/>
        </w:rPr>
      </w:pPr>
      <w:r>
        <w:rPr>
          <w:rFonts w:ascii="仿宋" w:hAnsi="仿宋" w:eastAsia="仿宋" w:cs="仿宋"/>
          <w:color w:val="auto"/>
          <w:sz w:val="24"/>
          <w:szCs w:val="24"/>
        </w:rPr>
        <w:t>②安装调试验收</w:t>
      </w:r>
    </w:p>
    <w:p w14:paraId="75069B0D">
      <w:pPr>
        <w:pStyle w:val="5"/>
        <w:spacing w:line="360" w:lineRule="auto"/>
        <w:outlineLvl w:val="3"/>
        <w:rPr>
          <w:rFonts w:ascii="仿宋" w:hAnsi="仿宋" w:eastAsia="仿宋" w:cs="仿宋"/>
          <w:color w:val="auto"/>
          <w:sz w:val="24"/>
          <w:szCs w:val="24"/>
        </w:rPr>
      </w:pPr>
      <w:r>
        <w:rPr>
          <w:rFonts w:ascii="仿宋" w:hAnsi="仿宋" w:eastAsia="仿宋" w:cs="仿宋"/>
          <w:color w:val="auto"/>
          <w:sz w:val="24"/>
          <w:szCs w:val="24"/>
        </w:rPr>
        <w:t>设备安装符合GB 50231-2009《机械设备安装工程施工及验收通用规范》；</w:t>
      </w:r>
    </w:p>
    <w:p w14:paraId="3CD16202">
      <w:pPr>
        <w:pStyle w:val="5"/>
        <w:spacing w:line="360" w:lineRule="auto"/>
        <w:outlineLvl w:val="3"/>
        <w:rPr>
          <w:rFonts w:ascii="仿宋" w:hAnsi="仿宋" w:eastAsia="仿宋" w:cs="仿宋"/>
          <w:color w:val="auto"/>
          <w:sz w:val="24"/>
          <w:szCs w:val="24"/>
        </w:rPr>
      </w:pPr>
      <w:r>
        <w:rPr>
          <w:rFonts w:ascii="仿宋" w:hAnsi="仿宋" w:eastAsia="仿宋" w:cs="仿宋"/>
          <w:color w:val="auto"/>
          <w:sz w:val="24"/>
          <w:szCs w:val="24"/>
        </w:rPr>
        <w:t>调试记录完整。</w:t>
      </w:r>
    </w:p>
    <w:p w14:paraId="169B51B6">
      <w:pPr>
        <w:pStyle w:val="5"/>
        <w:spacing w:line="360" w:lineRule="auto"/>
        <w:outlineLvl w:val="3"/>
        <w:rPr>
          <w:rFonts w:ascii="仿宋" w:hAnsi="仿宋" w:eastAsia="仿宋" w:cs="仿宋"/>
          <w:color w:val="auto"/>
          <w:sz w:val="24"/>
          <w:szCs w:val="24"/>
        </w:rPr>
      </w:pPr>
      <w:r>
        <w:rPr>
          <w:rFonts w:ascii="仿宋" w:hAnsi="仿宋" w:eastAsia="仿宋" w:cs="仿宋"/>
          <w:color w:val="auto"/>
          <w:sz w:val="24"/>
          <w:szCs w:val="24"/>
        </w:rPr>
        <w:t>③性能测试验收（关键指标实测）</w:t>
      </w:r>
    </w:p>
    <w:p w14:paraId="524AA2C1">
      <w:pPr>
        <w:pStyle w:val="5"/>
        <w:spacing w:line="360" w:lineRule="auto"/>
        <w:outlineLvl w:val="3"/>
        <w:rPr>
          <w:rFonts w:ascii="仿宋" w:hAnsi="仿宋" w:eastAsia="仿宋" w:cs="仿宋"/>
          <w:color w:val="auto"/>
          <w:sz w:val="24"/>
          <w:szCs w:val="24"/>
        </w:rPr>
      </w:pPr>
      <w:r>
        <w:rPr>
          <w:rFonts w:ascii="仿宋" w:hAnsi="仿宋" w:eastAsia="仿宋" w:cs="仿宋"/>
          <w:color w:val="auto"/>
          <w:sz w:val="24"/>
          <w:szCs w:val="24"/>
        </w:rPr>
        <w:t>连续运行48小时无故障；</w:t>
      </w:r>
    </w:p>
    <w:p w14:paraId="128E4F33">
      <w:pPr>
        <w:pStyle w:val="5"/>
        <w:spacing w:line="360" w:lineRule="auto"/>
        <w:outlineLvl w:val="3"/>
        <w:rPr>
          <w:rFonts w:ascii="仿宋" w:hAnsi="仿宋" w:eastAsia="仿宋" w:cs="仿宋"/>
          <w:color w:val="auto"/>
          <w:sz w:val="24"/>
          <w:szCs w:val="24"/>
        </w:rPr>
      </w:pPr>
      <w:r>
        <w:rPr>
          <w:rFonts w:ascii="仿宋" w:hAnsi="仿宋" w:eastAsia="仿宋" w:cs="仿宋"/>
          <w:color w:val="auto"/>
          <w:sz w:val="24"/>
          <w:szCs w:val="24"/>
        </w:rPr>
        <w:t>关键参数与投标文件承诺值对比。</w:t>
      </w:r>
    </w:p>
    <w:p w14:paraId="4A95E7D4">
      <w:pPr>
        <w:pStyle w:val="5"/>
        <w:spacing w:line="360" w:lineRule="auto"/>
        <w:outlineLvl w:val="3"/>
        <w:rPr>
          <w:rFonts w:ascii="仿宋" w:hAnsi="仿宋" w:eastAsia="仿宋" w:cs="仿宋"/>
          <w:color w:val="auto"/>
          <w:sz w:val="24"/>
          <w:szCs w:val="24"/>
        </w:rPr>
      </w:pPr>
      <w:r>
        <w:rPr>
          <w:rFonts w:ascii="仿宋" w:hAnsi="仿宋" w:eastAsia="仿宋" w:cs="仿宋"/>
          <w:color w:val="auto"/>
          <w:sz w:val="24"/>
          <w:szCs w:val="24"/>
        </w:rPr>
        <w:t>④最终验收</w:t>
      </w:r>
    </w:p>
    <w:p w14:paraId="0519EB43">
      <w:pPr>
        <w:spacing w:line="360" w:lineRule="auto"/>
        <w:rPr>
          <w:rFonts w:hint="eastAsia" w:ascii="仿宋" w:hAnsi="仿宋" w:eastAsia="仿宋" w:cs="仿宋"/>
          <w:color w:val="auto"/>
          <w:sz w:val="24"/>
          <w:szCs w:val="24"/>
        </w:rPr>
      </w:pPr>
      <w:r>
        <w:rPr>
          <w:rFonts w:hint="eastAsia" w:ascii="仿宋" w:hAnsi="仿宋" w:eastAsia="仿宋" w:cs="仿宋"/>
          <w:color w:val="auto"/>
          <w:sz w:val="24"/>
          <w:szCs w:val="24"/>
        </w:rPr>
        <w:t>签署《验收报告》，产品保修期自验收合格之日起算，由中标人提供产品保修文件。</w:t>
      </w:r>
    </w:p>
    <w:p w14:paraId="6D2DA435">
      <w:pPr>
        <w:spacing w:line="360" w:lineRule="auto"/>
        <w:ind w:firstLine="482" w:firstLineChars="200"/>
        <w:rPr>
          <w:rFonts w:hint="eastAsia" w:ascii="仿宋" w:hAnsi="仿宋" w:eastAsia="仿宋" w:cs="仿宋"/>
          <w:color w:val="auto"/>
          <w:sz w:val="24"/>
        </w:rPr>
      </w:pPr>
      <w:r>
        <w:rPr>
          <w:rFonts w:hint="eastAsia" w:ascii="仿宋" w:hAnsi="仿宋" w:eastAsia="仿宋" w:cs="仿宋"/>
          <w:b/>
          <w:bCs/>
          <w:color w:val="auto"/>
          <w:sz w:val="24"/>
        </w:rPr>
        <w:t>七、质量及质保期</w:t>
      </w:r>
    </w:p>
    <w:p w14:paraId="61D2CA0D">
      <w:pPr>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rPr>
        <w:t>1.合同标的物必须为全新未使用过的、来源合法，符合国家或有关行业质量标准，且完全符合本合同及附件约定的技术参数、规格型号要求。</w:t>
      </w:r>
    </w:p>
    <w:p w14:paraId="2D67B3D6">
      <w:pPr>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rPr>
        <w:t>2.合同标的物自验收合格之日起质保期______年。在质保期内出现的质量问题，乙方负责免费维修、维护或更换，确保设备恢复正常运行；若乙方未按时响应或维修后仍无法正常使用，甲方有权委托第三方维修，产生的费用从履约保证金或相关应付款项中抵扣，不足部分由乙方承担。在本合同约定的设备使用年限或双方另行商定的期限内，乙方应持续提供软件升级、技术咨询等支持服务。</w:t>
      </w:r>
    </w:p>
    <w:p w14:paraId="6E04F4AA">
      <w:pPr>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rPr>
        <w:t>3.质量标准：中标人的产品质量应当符合国家行业规定的标准，并无任何瑕疵；中标人应按配置清单要求提供原装产品，除人为因素损坏外，对该产品实行三包（即包修、包退、包换），免费提供所有设备正常使用所需的备品备件，且中标人维修所更换的配件和备品备件均为原设备厂家生产；</w:t>
      </w:r>
    </w:p>
    <w:p w14:paraId="67D5B6AE">
      <w:pPr>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rPr>
        <w:t>4.不符约定处理：如交付品种、型号、规格不符合同约定的，由中标人负责退换，由此产生的一切费用及给采购人造成的相关损失由中标人全部承担并赔偿相应损失；</w:t>
      </w:r>
    </w:p>
    <w:p w14:paraId="335E792C">
      <w:pPr>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rPr>
        <w:t>5.不能修理或调换：如不能修理或者不能调换的，按不能交货处理，因此给采购人造成的所有经济损失中标人应予全额赔偿；</w:t>
      </w:r>
    </w:p>
    <w:p w14:paraId="5F81CCD8">
      <w:pPr>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rPr>
        <w:t>6.质保服务：保修期内由中标人免费质保，采购人报修后三日内投标人必须响应，否则将依据有关法律、法规进行追偿；</w:t>
      </w:r>
    </w:p>
    <w:p w14:paraId="2AA5B734">
      <w:pPr>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rPr>
        <w:t>7.瑕疵责任：中标人提供产品应无任何瑕疵，符合国际、国内相关标准。如在使用过程中本产品存在隐蔽瑕疵造成医疗事故而引发的纠纷，由中标人全额负责赔偿，并免费为采购人修复瑕疵或更新换代，期间产生的费用均由中标人承担。</w:t>
      </w:r>
    </w:p>
    <w:p w14:paraId="4447F2A5">
      <w:pPr>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rPr>
        <w:t>8.产品质保：质保期自甲方在货物质量验收合格之日起计算。质保期内出现任何非人为故意损坏的质量问题，由乙方包换或包退，并承担调换或退货的全部费用。</w:t>
      </w:r>
    </w:p>
    <w:p w14:paraId="1857756D">
      <w:pPr>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rPr>
        <w:t>9.产品保修期（三包期）：自验收合格之日起1年。</w:t>
      </w:r>
    </w:p>
    <w:p w14:paraId="0C3DAC1E">
      <w:pPr>
        <w:spacing w:line="360" w:lineRule="auto"/>
        <w:ind w:firstLine="482" w:firstLineChars="200"/>
        <w:rPr>
          <w:rFonts w:hint="eastAsia" w:ascii="仿宋" w:hAnsi="仿宋" w:eastAsia="仿宋" w:cs="仿宋"/>
          <w:color w:val="auto"/>
          <w:sz w:val="24"/>
        </w:rPr>
      </w:pPr>
      <w:r>
        <w:rPr>
          <w:rFonts w:hint="eastAsia" w:ascii="仿宋" w:hAnsi="仿宋" w:eastAsia="仿宋" w:cs="仿宋"/>
          <w:b/>
          <w:bCs/>
          <w:color w:val="auto"/>
          <w:sz w:val="24"/>
        </w:rPr>
        <w:t>八、产权与保密</w:t>
      </w:r>
    </w:p>
    <w:p w14:paraId="39D5930E">
      <w:pPr>
        <w:spacing w:line="360" w:lineRule="auto"/>
        <w:ind w:firstLine="482" w:firstLineChars="200"/>
        <w:rPr>
          <w:rFonts w:hint="eastAsia" w:ascii="仿宋" w:hAnsi="仿宋" w:eastAsia="仿宋" w:cs="仿宋"/>
          <w:color w:val="auto"/>
          <w:sz w:val="24"/>
        </w:rPr>
      </w:pPr>
      <w:r>
        <w:rPr>
          <w:rFonts w:hint="eastAsia" w:ascii="仿宋" w:hAnsi="仿宋" w:eastAsia="仿宋" w:cs="仿宋"/>
          <w:b/>
          <w:bCs/>
          <w:color w:val="auto"/>
          <w:sz w:val="24"/>
        </w:rPr>
        <w:t>1.设备知识产权声明</w:t>
      </w:r>
      <w:r>
        <w:rPr>
          <w:rFonts w:hint="eastAsia" w:ascii="仿宋" w:hAnsi="仿宋" w:eastAsia="仿宋" w:cs="仿宋"/>
          <w:color w:val="auto"/>
          <w:sz w:val="24"/>
        </w:rPr>
        <w:t>：乙方保证，设备（包括硬件及随附软件）所含的全部知识产权归乙方或其合法许可方所有，所供设备为其合法所有或有权处分，不存在任何权利瑕疵。甲方在设备交付并经甲方验收合格后，取得该硬件设备的完整所有权；甲方在支付全部合同价款后，获得该设备及所附软件的非独占、可在甲方及其内部关联主体间转让或共享的使用权。</w:t>
      </w:r>
    </w:p>
    <w:p w14:paraId="319544F7">
      <w:pPr>
        <w:spacing w:line="360" w:lineRule="auto"/>
        <w:ind w:firstLine="482" w:firstLineChars="200"/>
        <w:rPr>
          <w:rFonts w:hint="eastAsia" w:ascii="仿宋" w:hAnsi="仿宋" w:eastAsia="仿宋" w:cs="仿宋"/>
          <w:color w:val="auto"/>
          <w:sz w:val="24"/>
        </w:rPr>
      </w:pPr>
      <w:r>
        <w:rPr>
          <w:rFonts w:hint="eastAsia" w:ascii="仿宋" w:hAnsi="仿宋" w:eastAsia="仿宋" w:cs="仿宋"/>
          <w:b/>
          <w:bCs/>
          <w:color w:val="auto"/>
          <w:sz w:val="24"/>
        </w:rPr>
        <w:t>2.保密义务</w:t>
      </w:r>
      <w:r>
        <w:rPr>
          <w:rFonts w:hint="eastAsia" w:ascii="仿宋" w:hAnsi="仿宋" w:eastAsia="仿宋" w:cs="仿宋"/>
          <w:color w:val="auto"/>
          <w:sz w:val="24"/>
        </w:rPr>
        <w:t>：双方应对因履行本合同而获知的对方的技术资料、技术参数、采购价格、商业计划、内部流程等未公开信息承担保密义务。</w:t>
      </w:r>
    </w:p>
    <w:p w14:paraId="38DDA09C">
      <w:pPr>
        <w:spacing w:line="360" w:lineRule="auto"/>
        <w:ind w:firstLine="482" w:firstLineChars="200"/>
        <w:rPr>
          <w:rFonts w:hint="eastAsia" w:ascii="仿宋" w:hAnsi="仿宋" w:eastAsia="仿宋" w:cs="仿宋"/>
          <w:color w:val="auto"/>
          <w:sz w:val="24"/>
        </w:rPr>
      </w:pPr>
      <w:r>
        <w:rPr>
          <w:rFonts w:hint="eastAsia" w:ascii="仿宋" w:hAnsi="仿宋" w:eastAsia="仿宋" w:cs="仿宋"/>
          <w:b/>
          <w:bCs/>
          <w:color w:val="auto"/>
          <w:sz w:val="24"/>
        </w:rPr>
        <w:t>九、争议解决</w:t>
      </w:r>
      <w:r>
        <w:rPr>
          <w:rFonts w:hint="eastAsia" w:ascii="仿宋" w:hAnsi="仿宋" w:eastAsia="仿宋" w:cs="仿宋"/>
          <w:color w:val="auto"/>
          <w:sz w:val="24"/>
        </w:rPr>
        <w:t>：合同履行过程中出现争议时，由双方友好协商解决。协商不成，向甲方所在地有管辖权的人民法院提起诉讼。</w:t>
      </w:r>
    </w:p>
    <w:p w14:paraId="12D2764D">
      <w:pPr>
        <w:spacing w:line="360" w:lineRule="auto"/>
        <w:ind w:firstLine="482" w:firstLineChars="200"/>
        <w:rPr>
          <w:rFonts w:hint="eastAsia" w:ascii="仿宋" w:hAnsi="仿宋" w:eastAsia="仿宋" w:cs="仿宋"/>
          <w:color w:val="auto"/>
          <w:sz w:val="24"/>
        </w:rPr>
      </w:pPr>
      <w:r>
        <w:rPr>
          <w:rFonts w:hint="eastAsia" w:ascii="仿宋" w:hAnsi="仿宋" w:eastAsia="仿宋" w:cs="仿宋"/>
          <w:b/>
          <w:bCs/>
          <w:color w:val="auto"/>
          <w:sz w:val="24"/>
        </w:rPr>
        <w:t>十、违约责任</w:t>
      </w:r>
      <w:r>
        <w:rPr>
          <w:rFonts w:hint="eastAsia" w:ascii="仿宋" w:hAnsi="仿宋" w:eastAsia="仿宋" w:cs="仿宋"/>
          <w:color w:val="auto"/>
          <w:sz w:val="24"/>
        </w:rPr>
        <w:t>：</w:t>
      </w:r>
    </w:p>
    <w:p w14:paraId="709B7BB7">
      <w:pPr>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rPr>
        <w:t>1.合同违约情况按《中华人民共和国民法典》中的相关条款执行；</w:t>
      </w:r>
    </w:p>
    <w:p w14:paraId="2D1283EB">
      <w:pPr>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rPr>
        <w:t>2.甲乙双方必须遵守本合同并执行合同中的各项规定，保证本合同的正常履行；</w:t>
      </w:r>
    </w:p>
    <w:p w14:paraId="0DB889CE">
      <w:pPr>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rPr>
        <w:t>3.乙方应对其工作人员人身安全负责，如因乙方工作人员在履行职务过程中的疏忽、失职、过错等故意或者过失原因给甲方造成损失或侵害，包括但不限于甲方本身的财产损失（直接损失、间接损失、甲方为避免损失扩大或维权而支出的律师费、诉讼费、保全费、鉴定费、差旅费等所有合理费用等）、由此而导致的甲方对任何第三方的法律责任等，乙方对此均应承担全部的赔偿责任；</w:t>
      </w:r>
    </w:p>
    <w:p w14:paraId="40E14D3E">
      <w:pPr>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rPr>
        <w:t>4.未按合同要求提供设备或提供的设备质量或规格不能满足技术要求，甲方有权终止合同并对乙方违约行为进行追究，同时按政府采购法的有关规定进行相应的处罚；</w:t>
      </w:r>
    </w:p>
    <w:p w14:paraId="27B16258">
      <w:pPr>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rPr>
        <w:t>5.若乙方发生延迟交货，每延迟1日，应向甲方支付合同总金额1‰的违约金；延迟超过</w:t>
      </w:r>
      <w:r>
        <w:rPr>
          <w:rFonts w:hint="eastAsia" w:ascii="仿宋" w:hAnsi="仿宋" w:eastAsia="仿宋" w:cs="仿宋"/>
          <w:color w:val="auto"/>
          <w:sz w:val="24"/>
          <w:u w:val="single"/>
        </w:rPr>
        <w:t>15</w:t>
      </w:r>
      <w:r>
        <w:rPr>
          <w:rFonts w:hint="eastAsia" w:ascii="仿宋" w:hAnsi="仿宋" w:eastAsia="仿宋" w:cs="仿宋"/>
          <w:color w:val="auto"/>
          <w:sz w:val="24"/>
        </w:rPr>
        <w:t>日的，甲方有权单方解除合同，并要求乙方支付合同总金额20%的违约金，如该违约金不足以弥补甲方损失的，乙方还应予以赔偿。</w:t>
      </w:r>
    </w:p>
    <w:p w14:paraId="5C6699E6">
      <w:pPr>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rPr>
        <w:t>6.招标文件、投标文件规定的其他违约情形；</w:t>
      </w:r>
    </w:p>
    <w:p w14:paraId="4769FC3D">
      <w:pPr>
        <w:spacing w:line="360" w:lineRule="auto"/>
        <w:ind w:firstLine="480" w:firstLineChars="200"/>
        <w:rPr>
          <w:rFonts w:hint="eastAsia" w:ascii="仿宋" w:hAnsi="仿宋" w:eastAsia="仿宋" w:cs="仿宋"/>
          <w:color w:val="auto"/>
          <w:sz w:val="24"/>
          <w:u w:val="single"/>
        </w:rPr>
      </w:pPr>
      <w:r>
        <w:rPr>
          <w:rFonts w:hint="eastAsia" w:ascii="仿宋" w:hAnsi="仿宋" w:eastAsia="仿宋" w:cs="仿宋"/>
          <w:color w:val="auto"/>
          <w:sz w:val="24"/>
        </w:rPr>
        <w:t>7.其他：</w:t>
      </w:r>
      <w:r>
        <w:rPr>
          <w:rFonts w:hint="eastAsia" w:ascii="仿宋" w:hAnsi="仿宋" w:eastAsia="仿宋" w:cs="仿宋"/>
          <w:color w:val="auto"/>
          <w:sz w:val="24"/>
          <w:u w:val="single"/>
        </w:rPr>
        <w:t>（1）中标供应商所交付货物及伴随的工程或服务不符合其投标承诺，存在偷工减料、以次充好情形的，采购人要求更换一次后仍不符合约定的，采购人有权解除政府采购合同，并将有关情况上报政府采购监管部门处理。中标供应商未按合同约定的交货日期交货的，每逾期一日，向采购人支付逾期交付货物价款的1%的违约金，但不超过合同总金额的10%。中标供应商支付逾期交货违约金并不免除其交货的责任。</w:t>
      </w:r>
    </w:p>
    <w:p w14:paraId="40B2BF79">
      <w:pPr>
        <w:spacing w:line="360" w:lineRule="auto"/>
        <w:ind w:firstLine="480" w:firstLineChars="200"/>
        <w:rPr>
          <w:rFonts w:hint="eastAsia" w:ascii="仿宋" w:hAnsi="仿宋" w:eastAsia="仿宋" w:cs="仿宋"/>
          <w:color w:val="auto"/>
          <w:sz w:val="24"/>
          <w:u w:val="single"/>
        </w:rPr>
      </w:pPr>
      <w:r>
        <w:rPr>
          <w:rFonts w:hint="eastAsia" w:ascii="仿宋" w:hAnsi="仿宋" w:eastAsia="仿宋" w:cs="仿宋"/>
          <w:color w:val="auto"/>
          <w:sz w:val="24"/>
          <w:u w:val="single"/>
        </w:rPr>
        <w:t>（2）中标供应商所交付货物及伴随的工程或服务不符合其投标承诺，存在偷工减料、以次充好情形的，采购人要求更换一次后仍不符合约定的，采购人有权解除政府采购合同，没收履约保证金，并将有关情况上报政府采购监管部门处理。</w:t>
      </w:r>
    </w:p>
    <w:p w14:paraId="7CAD7E0D">
      <w:pPr>
        <w:spacing w:line="360" w:lineRule="auto"/>
        <w:ind w:firstLine="482" w:firstLineChars="200"/>
        <w:rPr>
          <w:rFonts w:hint="eastAsia" w:ascii="仿宋" w:hAnsi="仿宋" w:eastAsia="仿宋" w:cs="仿宋"/>
          <w:color w:val="auto"/>
          <w:sz w:val="24"/>
        </w:rPr>
      </w:pPr>
      <w:r>
        <w:rPr>
          <w:rFonts w:hint="eastAsia" w:ascii="仿宋" w:hAnsi="仿宋" w:eastAsia="仿宋" w:cs="仿宋"/>
          <w:b/>
          <w:bCs/>
          <w:color w:val="auto"/>
          <w:sz w:val="24"/>
        </w:rPr>
        <w:t>十一、违约解除合同</w:t>
      </w:r>
      <w:r>
        <w:rPr>
          <w:rFonts w:hint="eastAsia" w:ascii="仿宋" w:hAnsi="仿宋" w:eastAsia="仿宋" w:cs="仿宋"/>
          <w:color w:val="auto"/>
          <w:sz w:val="24"/>
        </w:rPr>
        <w:t>：出现下列情形之一的，视为乙方违约。甲方可向乙方发出书面通知，部分或全部终止合同，同时保留向乙方索赔的权利。</w:t>
      </w:r>
    </w:p>
    <w:p w14:paraId="290F221D">
      <w:pPr>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rPr>
        <w:t>1.乙方根本违约，包括但不限于无法交付设备、设备存在严重质量问题无法修复（具体指经甲方书面通知后，乙方在合同约定的期限内或甲方另行给予的合理期限内进行两次整改或更换后，设备仍无法通过甲方验收的）、提供的资质文件造假等；</w:t>
      </w:r>
    </w:p>
    <w:p w14:paraId="3B9E61B6">
      <w:pPr>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rPr>
        <w:t>2.乙方未能履行合同规定的其它主要义务，经甲方书面催告后在合理期限内仍未履行，或该等违约行为导致甲方合同目的无法实现的；</w:t>
      </w:r>
    </w:p>
    <w:p w14:paraId="2AD2EEE1">
      <w:pPr>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rPr>
        <w:t>3.乙方在本合同履行过程中有欺诈行为的；</w:t>
      </w:r>
    </w:p>
    <w:p w14:paraId="692D1709">
      <w:pPr>
        <w:spacing w:line="360" w:lineRule="auto"/>
        <w:ind w:firstLine="480" w:firstLineChars="200"/>
        <w:rPr>
          <w:rFonts w:hint="eastAsia" w:ascii="仿宋" w:hAnsi="仿宋" w:eastAsia="仿宋" w:cs="仿宋"/>
          <w:color w:val="auto"/>
          <w:sz w:val="24"/>
          <w:u w:val="single"/>
        </w:rPr>
      </w:pPr>
      <w:r>
        <w:rPr>
          <w:rFonts w:hint="eastAsia" w:ascii="仿宋" w:hAnsi="仿宋" w:eastAsia="仿宋" w:cs="仿宋"/>
          <w:color w:val="auto"/>
          <w:sz w:val="24"/>
        </w:rPr>
        <w:t>4.其他：</w:t>
      </w:r>
      <w:r>
        <w:rPr>
          <w:rFonts w:hint="eastAsia" w:ascii="仿宋" w:hAnsi="仿宋" w:eastAsia="仿宋" w:cs="仿宋"/>
          <w:color w:val="auto"/>
          <w:sz w:val="24"/>
          <w:u w:val="single"/>
        </w:rPr>
        <w:t xml:space="preserve">                                          </w:t>
      </w:r>
    </w:p>
    <w:p w14:paraId="7C3B1C62">
      <w:pPr>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rPr>
        <w:t>本合同项下约定的所有甲方应付款项，若因乙方违约（包括但不限于质量、交付、安装调试等问题）导致甲方付款条件未成就或付款时间延后的，不视为甲方违约，乙方仍应承担相应的违约责任。</w:t>
      </w:r>
    </w:p>
    <w:p w14:paraId="2B1BAC6D">
      <w:pPr>
        <w:spacing w:line="360" w:lineRule="auto"/>
        <w:ind w:firstLine="482" w:firstLineChars="200"/>
        <w:rPr>
          <w:rFonts w:hint="eastAsia" w:ascii="仿宋" w:hAnsi="仿宋" w:eastAsia="仿宋" w:cs="仿宋"/>
          <w:color w:val="auto"/>
          <w:sz w:val="24"/>
        </w:rPr>
      </w:pPr>
      <w:r>
        <w:rPr>
          <w:rFonts w:hint="eastAsia" w:ascii="仿宋" w:hAnsi="仿宋" w:eastAsia="仿宋" w:cs="仿宋"/>
          <w:b/>
          <w:bCs/>
          <w:color w:val="auto"/>
          <w:sz w:val="24"/>
        </w:rPr>
        <w:t>十二、其他约定事项</w:t>
      </w:r>
      <w:r>
        <w:rPr>
          <w:rFonts w:hint="eastAsia" w:ascii="仿宋" w:hAnsi="仿宋" w:eastAsia="仿宋" w:cs="仿宋"/>
          <w:color w:val="auto"/>
          <w:sz w:val="24"/>
        </w:rPr>
        <w:t>：</w:t>
      </w:r>
    </w:p>
    <w:p w14:paraId="1C0A6C4D">
      <w:pPr>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rPr>
        <w:t>1.合同经双方签字盖章后生效。合同一式四份，甲方执三份，乙方执一份；</w:t>
      </w:r>
    </w:p>
    <w:p w14:paraId="0638C84F">
      <w:pPr>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rPr>
        <w:t>2.招投标文件为本合同的附件，与本合同具有同等法律效力（本条款适用于招投标项目）。</w:t>
      </w:r>
    </w:p>
    <w:p w14:paraId="0731D88B">
      <w:pPr>
        <w:spacing w:line="360" w:lineRule="auto"/>
        <w:ind w:firstLine="480" w:firstLineChars="200"/>
        <w:rPr>
          <w:rFonts w:hint="eastAsia" w:ascii="仿宋" w:hAnsi="仿宋" w:eastAsia="仿宋" w:cs="仿宋"/>
          <w:color w:val="auto"/>
          <w:sz w:val="24"/>
        </w:rPr>
      </w:pPr>
    </w:p>
    <w:tbl>
      <w:tblPr>
        <w:tblStyle w:val="3"/>
        <w:tblW w:w="8459" w:type="dxa"/>
        <w:jc w:val="center"/>
        <w:tblLayout w:type="autofit"/>
        <w:tblCellMar>
          <w:top w:w="0" w:type="dxa"/>
          <w:left w:w="10" w:type="dxa"/>
          <w:bottom w:w="0" w:type="dxa"/>
          <w:right w:w="10" w:type="dxa"/>
        </w:tblCellMar>
      </w:tblPr>
      <w:tblGrid>
        <w:gridCol w:w="4216"/>
        <w:gridCol w:w="4243"/>
      </w:tblGrid>
      <w:tr w14:paraId="6AC2F944">
        <w:tblPrEx>
          <w:tblCellMar>
            <w:top w:w="0" w:type="dxa"/>
            <w:left w:w="10" w:type="dxa"/>
            <w:bottom w:w="0" w:type="dxa"/>
            <w:right w:w="10" w:type="dxa"/>
          </w:tblCellMar>
        </w:tblPrEx>
        <w:trPr>
          <w:trHeight w:val="373" w:hRule="atLeast"/>
          <w:jc w:val="center"/>
        </w:trPr>
        <w:tc>
          <w:tcPr>
            <w:tcW w:w="421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BDD038B">
            <w:pPr>
              <w:rPr>
                <w:rFonts w:hint="eastAsia" w:ascii="仿宋" w:hAnsi="仿宋" w:eastAsia="仿宋" w:cs="仿宋"/>
                <w:color w:val="auto"/>
              </w:rPr>
            </w:pPr>
            <w:r>
              <w:rPr>
                <w:rFonts w:hint="eastAsia" w:ascii="仿宋" w:hAnsi="仿宋" w:eastAsia="仿宋" w:cs="仿宋"/>
                <w:color w:val="auto"/>
                <w:sz w:val="24"/>
              </w:rPr>
              <w:t xml:space="preserve">甲方（盖章）：西安理工大学        </w:t>
            </w:r>
          </w:p>
        </w:tc>
        <w:tc>
          <w:tcPr>
            <w:tcW w:w="424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9C7CC84">
            <w:pPr>
              <w:rPr>
                <w:rFonts w:hint="eastAsia" w:ascii="仿宋" w:hAnsi="仿宋" w:eastAsia="仿宋" w:cs="仿宋"/>
                <w:color w:val="auto"/>
              </w:rPr>
            </w:pPr>
            <w:r>
              <w:rPr>
                <w:rFonts w:hint="eastAsia" w:ascii="仿宋" w:hAnsi="仿宋" w:eastAsia="仿宋" w:cs="仿宋"/>
                <w:color w:val="auto"/>
                <w:sz w:val="24"/>
              </w:rPr>
              <w:t xml:space="preserve">乙方（盖章）： </w:t>
            </w:r>
          </w:p>
        </w:tc>
      </w:tr>
      <w:tr w14:paraId="23A86A3E">
        <w:tblPrEx>
          <w:tblCellMar>
            <w:top w:w="0" w:type="dxa"/>
            <w:left w:w="10" w:type="dxa"/>
            <w:bottom w:w="0" w:type="dxa"/>
            <w:right w:w="10" w:type="dxa"/>
          </w:tblCellMar>
        </w:tblPrEx>
        <w:trPr>
          <w:trHeight w:val="504" w:hRule="atLeast"/>
          <w:jc w:val="center"/>
        </w:trPr>
        <w:tc>
          <w:tcPr>
            <w:tcW w:w="421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8B2AC2D">
            <w:pPr>
              <w:rPr>
                <w:rFonts w:hint="eastAsia" w:ascii="仿宋" w:hAnsi="仿宋" w:eastAsia="仿宋" w:cs="仿宋"/>
                <w:color w:val="auto"/>
              </w:rPr>
            </w:pPr>
            <w:r>
              <w:rPr>
                <w:rFonts w:hint="eastAsia" w:ascii="仿宋" w:hAnsi="仿宋" w:eastAsia="仿宋" w:cs="仿宋"/>
                <w:color w:val="auto"/>
                <w:sz w:val="24"/>
              </w:rPr>
              <w:t>信用代码：1261000043523042XN</w:t>
            </w:r>
          </w:p>
        </w:tc>
        <w:tc>
          <w:tcPr>
            <w:tcW w:w="424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9940B80">
            <w:pPr>
              <w:rPr>
                <w:rFonts w:hint="eastAsia" w:ascii="仿宋" w:hAnsi="仿宋" w:eastAsia="仿宋" w:cs="仿宋"/>
                <w:color w:val="auto"/>
              </w:rPr>
            </w:pPr>
            <w:r>
              <w:rPr>
                <w:rFonts w:hint="eastAsia" w:ascii="仿宋" w:hAnsi="仿宋" w:eastAsia="仿宋" w:cs="仿宋"/>
                <w:color w:val="auto"/>
                <w:sz w:val="24"/>
              </w:rPr>
              <w:t>信用代码：</w:t>
            </w:r>
          </w:p>
        </w:tc>
      </w:tr>
      <w:tr w14:paraId="40CE2D52">
        <w:tblPrEx>
          <w:tblCellMar>
            <w:top w:w="0" w:type="dxa"/>
            <w:left w:w="10" w:type="dxa"/>
            <w:bottom w:w="0" w:type="dxa"/>
            <w:right w:w="10" w:type="dxa"/>
          </w:tblCellMar>
        </w:tblPrEx>
        <w:trPr>
          <w:trHeight w:val="504" w:hRule="atLeast"/>
          <w:jc w:val="center"/>
        </w:trPr>
        <w:tc>
          <w:tcPr>
            <w:tcW w:w="421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DCD147C">
            <w:pPr>
              <w:rPr>
                <w:rFonts w:hint="eastAsia" w:ascii="仿宋" w:hAnsi="仿宋" w:eastAsia="仿宋" w:cs="仿宋"/>
                <w:color w:val="auto"/>
              </w:rPr>
            </w:pPr>
            <w:r>
              <w:rPr>
                <w:rFonts w:hint="eastAsia" w:ascii="仿宋" w:hAnsi="仿宋" w:eastAsia="仿宋" w:cs="仿宋"/>
                <w:color w:val="auto"/>
                <w:sz w:val="24"/>
              </w:rPr>
              <w:t>地址：西安市金花南路5号</w:t>
            </w:r>
          </w:p>
        </w:tc>
        <w:tc>
          <w:tcPr>
            <w:tcW w:w="424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835B83D">
            <w:pPr>
              <w:rPr>
                <w:rFonts w:hint="eastAsia" w:ascii="仿宋" w:hAnsi="仿宋" w:eastAsia="仿宋" w:cs="仿宋"/>
                <w:color w:val="auto"/>
              </w:rPr>
            </w:pPr>
            <w:r>
              <w:rPr>
                <w:rFonts w:hint="eastAsia" w:ascii="仿宋" w:hAnsi="仿宋" w:eastAsia="仿宋" w:cs="仿宋"/>
                <w:color w:val="auto"/>
                <w:sz w:val="24"/>
              </w:rPr>
              <w:t>地址：</w:t>
            </w:r>
          </w:p>
        </w:tc>
      </w:tr>
      <w:tr w14:paraId="7AC37121">
        <w:tblPrEx>
          <w:tblCellMar>
            <w:top w:w="0" w:type="dxa"/>
            <w:left w:w="10" w:type="dxa"/>
            <w:bottom w:w="0" w:type="dxa"/>
            <w:right w:w="10" w:type="dxa"/>
          </w:tblCellMar>
        </w:tblPrEx>
        <w:trPr>
          <w:trHeight w:val="719" w:hRule="atLeast"/>
          <w:jc w:val="center"/>
        </w:trPr>
        <w:tc>
          <w:tcPr>
            <w:tcW w:w="421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E777B3D">
            <w:pPr>
              <w:rPr>
                <w:rFonts w:hint="eastAsia" w:ascii="仿宋" w:hAnsi="仿宋" w:eastAsia="仿宋" w:cs="仿宋"/>
                <w:color w:val="auto"/>
                <w:sz w:val="24"/>
              </w:rPr>
            </w:pPr>
            <w:r>
              <w:rPr>
                <w:rFonts w:hint="eastAsia" w:ascii="仿宋" w:hAnsi="仿宋" w:eastAsia="仿宋" w:cs="仿宋"/>
                <w:color w:val="auto"/>
                <w:sz w:val="24"/>
              </w:rPr>
              <w:t>开户银行：中国银行西安金花南路支行</w:t>
            </w:r>
          </w:p>
          <w:p w14:paraId="25CADBA8">
            <w:pPr>
              <w:rPr>
                <w:rFonts w:hint="eastAsia" w:ascii="仿宋" w:hAnsi="仿宋" w:eastAsia="仿宋" w:cs="仿宋"/>
                <w:color w:val="auto"/>
              </w:rPr>
            </w:pPr>
            <w:r>
              <w:rPr>
                <w:rFonts w:hint="eastAsia" w:ascii="仿宋" w:hAnsi="仿宋" w:eastAsia="仿宋" w:cs="仿宋"/>
                <w:color w:val="auto"/>
                <w:sz w:val="24"/>
              </w:rPr>
              <w:t>银行账号：</w:t>
            </w:r>
            <w:r>
              <w:rPr>
                <w:rFonts w:hint="eastAsia" w:ascii="仿宋" w:hAnsi="仿宋" w:eastAsia="仿宋" w:cs="仿宋"/>
                <w:color w:val="auto"/>
              </w:rPr>
              <w:t>102891574567</w:t>
            </w:r>
          </w:p>
        </w:tc>
        <w:tc>
          <w:tcPr>
            <w:tcW w:w="424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7E7E8F7">
            <w:pPr>
              <w:rPr>
                <w:rFonts w:hint="eastAsia" w:ascii="仿宋" w:hAnsi="仿宋" w:eastAsia="仿宋" w:cs="仿宋"/>
                <w:color w:val="auto"/>
                <w:sz w:val="24"/>
              </w:rPr>
            </w:pPr>
            <w:r>
              <w:rPr>
                <w:rFonts w:hint="eastAsia" w:ascii="仿宋" w:hAnsi="仿宋" w:eastAsia="仿宋" w:cs="仿宋"/>
                <w:color w:val="auto"/>
                <w:sz w:val="24"/>
              </w:rPr>
              <w:t>开户银行：</w:t>
            </w:r>
          </w:p>
          <w:p w14:paraId="1F20640E">
            <w:pPr>
              <w:rPr>
                <w:rFonts w:hint="eastAsia" w:ascii="仿宋" w:hAnsi="仿宋" w:eastAsia="仿宋" w:cs="仿宋"/>
                <w:color w:val="auto"/>
              </w:rPr>
            </w:pPr>
            <w:r>
              <w:rPr>
                <w:rFonts w:hint="eastAsia" w:ascii="仿宋" w:hAnsi="仿宋" w:eastAsia="仿宋" w:cs="仿宋"/>
                <w:color w:val="auto"/>
                <w:sz w:val="24"/>
              </w:rPr>
              <w:t>银行账号：</w:t>
            </w:r>
          </w:p>
        </w:tc>
      </w:tr>
      <w:tr w14:paraId="01B48797">
        <w:tblPrEx>
          <w:tblCellMar>
            <w:top w:w="0" w:type="dxa"/>
            <w:left w:w="10" w:type="dxa"/>
            <w:bottom w:w="0" w:type="dxa"/>
            <w:right w:w="10" w:type="dxa"/>
          </w:tblCellMar>
        </w:tblPrEx>
        <w:trPr>
          <w:trHeight w:val="504" w:hRule="atLeast"/>
          <w:jc w:val="center"/>
        </w:trPr>
        <w:tc>
          <w:tcPr>
            <w:tcW w:w="421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D3E17A1">
            <w:pPr>
              <w:rPr>
                <w:rFonts w:hint="eastAsia" w:ascii="仿宋" w:hAnsi="仿宋" w:eastAsia="仿宋" w:cs="仿宋"/>
                <w:color w:val="auto"/>
              </w:rPr>
            </w:pPr>
            <w:r>
              <w:rPr>
                <w:rFonts w:hint="eastAsia" w:ascii="仿宋" w:hAnsi="仿宋" w:eastAsia="仿宋" w:cs="仿宋"/>
                <w:color w:val="auto"/>
                <w:sz w:val="24"/>
              </w:rPr>
              <w:t>法人/委托代理人签字</w:t>
            </w:r>
          </w:p>
        </w:tc>
        <w:tc>
          <w:tcPr>
            <w:tcW w:w="424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CE18A69">
            <w:pPr>
              <w:rPr>
                <w:rFonts w:hint="eastAsia" w:ascii="仿宋" w:hAnsi="仿宋" w:eastAsia="仿宋" w:cs="仿宋"/>
                <w:color w:val="auto"/>
              </w:rPr>
            </w:pPr>
            <w:r>
              <w:rPr>
                <w:rFonts w:hint="eastAsia" w:ascii="仿宋" w:hAnsi="仿宋" w:eastAsia="仿宋" w:cs="仿宋"/>
                <w:color w:val="auto"/>
                <w:sz w:val="24"/>
              </w:rPr>
              <w:t>法人/委托代理人签字：</w:t>
            </w:r>
          </w:p>
        </w:tc>
      </w:tr>
      <w:tr w14:paraId="46A129B2">
        <w:tblPrEx>
          <w:tblCellMar>
            <w:top w:w="0" w:type="dxa"/>
            <w:left w:w="10" w:type="dxa"/>
            <w:bottom w:w="0" w:type="dxa"/>
            <w:right w:w="10" w:type="dxa"/>
          </w:tblCellMar>
        </w:tblPrEx>
        <w:trPr>
          <w:trHeight w:val="504" w:hRule="atLeast"/>
          <w:jc w:val="center"/>
        </w:trPr>
        <w:tc>
          <w:tcPr>
            <w:tcW w:w="421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0D36DA5">
            <w:pPr>
              <w:rPr>
                <w:rFonts w:hint="eastAsia" w:ascii="仿宋" w:hAnsi="仿宋" w:eastAsia="仿宋" w:cs="仿宋"/>
                <w:color w:val="auto"/>
              </w:rPr>
            </w:pPr>
            <w:r>
              <w:rPr>
                <w:rFonts w:hint="eastAsia" w:ascii="仿宋" w:hAnsi="仿宋" w:eastAsia="仿宋" w:cs="仿宋"/>
                <w:color w:val="auto"/>
                <w:sz w:val="24"/>
              </w:rPr>
              <w:t>电话：</w:t>
            </w:r>
          </w:p>
        </w:tc>
        <w:tc>
          <w:tcPr>
            <w:tcW w:w="424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CE3BA4A">
            <w:pPr>
              <w:rPr>
                <w:rFonts w:hint="eastAsia" w:ascii="仿宋" w:hAnsi="仿宋" w:eastAsia="仿宋" w:cs="仿宋"/>
                <w:color w:val="auto"/>
              </w:rPr>
            </w:pPr>
            <w:r>
              <w:rPr>
                <w:rFonts w:hint="eastAsia" w:ascii="仿宋" w:hAnsi="仿宋" w:eastAsia="仿宋" w:cs="仿宋"/>
                <w:color w:val="auto"/>
                <w:sz w:val="24"/>
              </w:rPr>
              <w:t>电话：</w:t>
            </w:r>
          </w:p>
        </w:tc>
      </w:tr>
      <w:tr w14:paraId="599C24F2">
        <w:tblPrEx>
          <w:tblCellMar>
            <w:top w:w="0" w:type="dxa"/>
            <w:left w:w="10" w:type="dxa"/>
            <w:bottom w:w="0" w:type="dxa"/>
            <w:right w:w="10" w:type="dxa"/>
          </w:tblCellMar>
        </w:tblPrEx>
        <w:trPr>
          <w:trHeight w:val="533" w:hRule="atLeast"/>
          <w:jc w:val="center"/>
        </w:trPr>
        <w:tc>
          <w:tcPr>
            <w:tcW w:w="421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961EAB5">
            <w:pPr>
              <w:jc w:val="right"/>
              <w:rPr>
                <w:rFonts w:hint="eastAsia" w:ascii="仿宋" w:hAnsi="仿宋" w:eastAsia="仿宋" w:cs="仿宋"/>
                <w:color w:val="auto"/>
              </w:rPr>
            </w:pPr>
            <w:r>
              <w:rPr>
                <w:rFonts w:hint="eastAsia" w:ascii="仿宋" w:hAnsi="仿宋" w:eastAsia="仿宋" w:cs="仿宋"/>
                <w:color w:val="auto"/>
                <w:sz w:val="24"/>
              </w:rPr>
              <w:t>签订日期：   年  月  日</w:t>
            </w:r>
          </w:p>
        </w:tc>
        <w:tc>
          <w:tcPr>
            <w:tcW w:w="424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3017CB7">
            <w:pPr>
              <w:jc w:val="right"/>
              <w:rPr>
                <w:rFonts w:hint="eastAsia" w:ascii="仿宋" w:hAnsi="仿宋" w:eastAsia="仿宋" w:cs="仿宋"/>
                <w:color w:val="auto"/>
              </w:rPr>
            </w:pPr>
            <w:r>
              <w:rPr>
                <w:rFonts w:hint="eastAsia" w:ascii="仿宋" w:hAnsi="仿宋" w:eastAsia="仿宋" w:cs="仿宋"/>
                <w:color w:val="auto"/>
                <w:sz w:val="24"/>
              </w:rPr>
              <w:t>签订日期：   年  月  日</w:t>
            </w:r>
          </w:p>
        </w:tc>
      </w:tr>
    </w:tbl>
    <w:p w14:paraId="6CFD2E4B">
      <w:pPr>
        <w:pStyle w:val="5"/>
        <w:rPr>
          <w:rFonts w:ascii="仿宋" w:hAnsi="仿宋" w:eastAsia="仿宋" w:cs="仿宋"/>
          <w:color w:val="auto"/>
        </w:rPr>
      </w:pPr>
    </w:p>
    <w:p w14:paraId="4C32F65B">
      <w:bookmarkStart w:id="0" w:name="_GoBack"/>
      <w:bookmarkEnd w:id="0"/>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D435DA">
    <w:pPr>
      <w:pStyle w:val="2"/>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22773593">
                          <w:pPr>
                            <w:pStyle w:val="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4</w:t>
                          </w:r>
                          <w:r>
                            <w:fldChar w:fldCharType="end"/>
                          </w:r>
                          <w: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CG8Zm0MQIAAGMEAAAOAAAAAAAAAAEAIAAAAB8BAABkcnMvZTJvRG9jLnhtbFBLBQYA&#10;AAAABgAGAFkBAADCBQAAAAA=&#10;">
              <v:fill on="f" focussize="0,0"/>
              <v:stroke on="f" weight="0.5pt"/>
              <v:imagedata o:title=""/>
              <o:lock v:ext="edit" aspectratio="f"/>
              <v:textbox inset="0mm,0mm,0mm,0mm" style="mso-fit-shape-to-text:t;">
                <w:txbxContent>
                  <w:p w14:paraId="22773593">
                    <w:pPr>
                      <w:pStyle w:val="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4</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11204B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pPr>
    <w:rPr>
      <w:sz w:val="18"/>
    </w:rPr>
  </w:style>
  <w:style w:type="paragraph" w:customStyle="1" w:styleId="5">
    <w:name w:val="null3"/>
    <w:hidden/>
    <w:qFormat/>
    <w:uiPriority w:val="0"/>
    <w:rPr>
      <w:rFonts w:hint="eastAsia" w:asciiTheme="minorHAnsi" w:hAnsiTheme="minorHAnsi" w:eastAsiaTheme="minorEastAsia" w:cstheme="minorBidi"/>
      <w:lang w:val="en-US" w:eastAsia="zh-Hans"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0</Words>
  <Characters>0</Characters>
  <Lines>0</Lines>
  <Paragraphs>0</Paragraphs>
  <TotalTime>0</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2026-04-02T03:09:33Z</dcterms:created>
  <dc:creator>Administrator</dc:creator>
  <cp:lastModifiedBy>华夏国际-招标部</cp:lastModifiedBy>
  <dcterms:modified xsi:type="dcterms:W3CDTF">2026-04-02T03:09:53Z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eyJoZGlkIjoiMjc4OWMzYTFiMTY0M2NjNTI4Mjg5YzU2ZjliOThmMjkiLCJ1c2VySWQiOiIxNTQ4NTM4NTMxIn0=</vt:lpwstr>
  </property>
  <property fmtid="{D5CDD505-2E9C-101B-9397-08002B2CF9AE}" pid="4" name="ICV">
    <vt:lpwstr>BB4790BC0F1C416796DCEE9DA7C2FD36_12</vt:lpwstr>
  </property>
</Properties>
</file>