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52A1C2">
      <w:pPr>
        <w:spacing w:line="600" w:lineRule="exact"/>
        <w:rPr>
          <w:rFonts w:ascii="黑体" w:eastAsia="黑体"/>
          <w:b/>
          <w:sz w:val="36"/>
          <w:szCs w:val="36"/>
        </w:rPr>
      </w:pPr>
      <w:bookmarkStart w:id="0" w:name="_Toc19797"/>
      <w:bookmarkStart w:id="1" w:name="_Toc21075"/>
      <w:bookmarkStart w:id="2" w:name="_Toc4288"/>
      <w:bookmarkStart w:id="3" w:name="_Toc23541"/>
      <w:bookmarkStart w:id="4" w:name="_Toc22282"/>
      <w:bookmarkStart w:id="5" w:name="_Toc12594"/>
      <w:bookmarkStart w:id="6" w:name="_Toc4088"/>
    </w:p>
    <w:p w14:paraId="72DE251F">
      <w:pPr>
        <w:spacing w:line="360" w:lineRule="auto"/>
        <w:jc w:val="center"/>
        <w:rPr>
          <w:rFonts w:hint="eastAsia" w:ascii="宋体" w:hAnsi="宋体"/>
          <w:b/>
          <w:sz w:val="52"/>
          <w:szCs w:val="52"/>
        </w:rPr>
      </w:pPr>
    </w:p>
    <w:p w14:paraId="2F53F8C7">
      <w:pPr>
        <w:spacing w:line="360" w:lineRule="auto"/>
        <w:jc w:val="center"/>
        <w:rPr>
          <w:rFonts w:hint="eastAsia" w:ascii="宋体" w:hAnsi="宋体"/>
          <w:b/>
          <w:sz w:val="52"/>
          <w:szCs w:val="52"/>
          <w:lang w:eastAsia="zh-CN"/>
        </w:rPr>
      </w:pPr>
      <w:r>
        <w:rPr>
          <w:rFonts w:hint="eastAsia" w:ascii="宋体" w:hAnsi="宋体"/>
          <w:b/>
          <w:sz w:val="52"/>
          <w:szCs w:val="52"/>
          <w:lang w:eastAsia="zh-CN"/>
        </w:rPr>
        <w:t>陕西省市场监督管理局</w:t>
      </w:r>
    </w:p>
    <w:p w14:paraId="29F5DF02">
      <w:pPr>
        <w:spacing w:line="360" w:lineRule="auto"/>
        <w:jc w:val="center"/>
        <w:rPr>
          <w:rFonts w:ascii="宋体" w:hAnsi="宋体"/>
          <w:b/>
          <w:sz w:val="52"/>
          <w:szCs w:val="52"/>
        </w:rPr>
      </w:pPr>
      <w:r>
        <w:rPr>
          <w:rFonts w:hint="eastAsia" w:ascii="宋体" w:hAnsi="宋体"/>
          <w:b/>
          <w:sz w:val="52"/>
          <w:szCs w:val="52"/>
          <w:lang w:eastAsia="zh-CN"/>
        </w:rPr>
        <w:t>网络线路租赁</w:t>
      </w:r>
      <w:r>
        <w:rPr>
          <w:rFonts w:hint="eastAsia" w:ascii="宋体" w:hAnsi="宋体"/>
          <w:b/>
          <w:sz w:val="52"/>
          <w:szCs w:val="52"/>
        </w:rPr>
        <w:t>合同</w:t>
      </w:r>
    </w:p>
    <w:p w14:paraId="12F9DDA6">
      <w:pPr>
        <w:spacing w:line="360" w:lineRule="auto"/>
        <w:rPr>
          <w:rFonts w:ascii="宋体"/>
          <w:color w:val="000000"/>
          <w:sz w:val="28"/>
          <w:szCs w:val="28"/>
        </w:rPr>
      </w:pPr>
    </w:p>
    <w:p w14:paraId="791DE9A6">
      <w:pPr>
        <w:spacing w:line="600" w:lineRule="exact"/>
        <w:rPr>
          <w:rFonts w:ascii="宋体"/>
          <w:color w:val="000000"/>
          <w:sz w:val="28"/>
          <w:szCs w:val="28"/>
        </w:rPr>
      </w:pPr>
    </w:p>
    <w:p w14:paraId="2BD4F725">
      <w:pPr>
        <w:spacing w:line="600" w:lineRule="exact"/>
        <w:rPr>
          <w:rFonts w:ascii="宋体"/>
          <w:color w:val="000000"/>
          <w:sz w:val="28"/>
          <w:szCs w:val="28"/>
        </w:rPr>
      </w:pPr>
    </w:p>
    <w:p w14:paraId="2711B555">
      <w:pPr>
        <w:spacing w:line="600" w:lineRule="exact"/>
        <w:rPr>
          <w:rFonts w:ascii="宋体"/>
          <w:color w:val="000000"/>
          <w:sz w:val="28"/>
          <w:szCs w:val="28"/>
        </w:rPr>
      </w:pPr>
    </w:p>
    <w:p w14:paraId="4DB97E17">
      <w:pPr>
        <w:spacing w:line="600" w:lineRule="exact"/>
        <w:rPr>
          <w:rFonts w:ascii="宋体"/>
          <w:color w:val="000000"/>
          <w:sz w:val="28"/>
          <w:szCs w:val="28"/>
        </w:rPr>
      </w:pPr>
    </w:p>
    <w:p w14:paraId="7CA77B1E">
      <w:pPr>
        <w:spacing w:line="600" w:lineRule="exact"/>
        <w:rPr>
          <w:rFonts w:ascii="宋体"/>
          <w:color w:val="000000"/>
          <w:sz w:val="28"/>
          <w:szCs w:val="28"/>
        </w:rPr>
      </w:pPr>
    </w:p>
    <w:p w14:paraId="4E07F57E">
      <w:pPr>
        <w:spacing w:line="600" w:lineRule="exact"/>
        <w:rPr>
          <w:rFonts w:ascii="宋体"/>
          <w:color w:val="000000"/>
          <w:sz w:val="28"/>
          <w:szCs w:val="28"/>
        </w:rPr>
      </w:pPr>
    </w:p>
    <w:p w14:paraId="20B50E1A">
      <w:pPr>
        <w:spacing w:line="600" w:lineRule="exact"/>
        <w:rPr>
          <w:rFonts w:ascii="宋体"/>
          <w:color w:val="000000"/>
          <w:sz w:val="28"/>
          <w:szCs w:val="28"/>
        </w:rPr>
      </w:pPr>
    </w:p>
    <w:p w14:paraId="0626A1BA">
      <w:pPr>
        <w:spacing w:line="600" w:lineRule="exact"/>
        <w:rPr>
          <w:rFonts w:ascii="宋体"/>
          <w:color w:val="000000"/>
          <w:sz w:val="28"/>
          <w:szCs w:val="28"/>
        </w:rPr>
      </w:pPr>
    </w:p>
    <w:p w14:paraId="3EA760C7">
      <w:pPr>
        <w:spacing w:line="600" w:lineRule="exact"/>
        <w:rPr>
          <w:rFonts w:ascii="宋体"/>
          <w:color w:val="000000"/>
          <w:sz w:val="28"/>
          <w:szCs w:val="28"/>
        </w:rPr>
      </w:pPr>
    </w:p>
    <w:p w14:paraId="5240136E">
      <w:pPr>
        <w:ind w:firstLine="900" w:firstLineChars="300"/>
        <w:rPr>
          <w:rFonts w:hint="eastAsia" w:ascii="黑体" w:hAnsi="宋体" w:eastAsia="黑体"/>
          <w:color w:val="000000"/>
          <w:sz w:val="30"/>
          <w:szCs w:val="30"/>
        </w:rPr>
      </w:pPr>
      <w:r>
        <w:rPr>
          <w:rFonts w:hint="eastAsia" w:ascii="黑体" w:hAnsi="宋体" w:eastAsia="黑体"/>
          <w:color w:val="000000"/>
          <w:sz w:val="30"/>
          <w:szCs w:val="30"/>
        </w:rPr>
        <w:t>甲方：陕西省市场监督管理局信息中心</w:t>
      </w:r>
    </w:p>
    <w:p w14:paraId="055D7765">
      <w:pPr>
        <w:ind w:firstLine="900" w:firstLineChars="300"/>
        <w:rPr>
          <w:rFonts w:hint="eastAsia" w:ascii="黑体" w:hAnsi="宋体" w:eastAsia="黑体"/>
          <w:color w:val="000000"/>
          <w:sz w:val="30"/>
          <w:szCs w:val="30"/>
          <w:lang w:eastAsia="zh-CN"/>
        </w:rPr>
      </w:pPr>
      <w:r>
        <w:rPr>
          <w:rFonts w:hint="eastAsia" w:ascii="黑体" w:hAnsi="宋体" w:eastAsia="黑体"/>
          <w:color w:val="000000"/>
          <w:sz w:val="30"/>
          <w:szCs w:val="30"/>
        </w:rPr>
        <w:t>乙方：</w:t>
      </w:r>
      <w:r>
        <w:rPr>
          <w:rFonts w:hint="eastAsia" w:ascii="黑体" w:hAnsi="宋体" w:eastAsia="黑体"/>
          <w:color w:val="000000"/>
          <w:sz w:val="30"/>
          <w:szCs w:val="30"/>
          <w:lang w:val="en-US" w:eastAsia="zh-CN"/>
        </w:rPr>
        <w:t xml:space="preserve"> </w:t>
      </w:r>
    </w:p>
    <w:p w14:paraId="7C4C91AF">
      <w:pPr>
        <w:autoSpaceDN w:val="0"/>
        <w:spacing w:line="360" w:lineRule="exact"/>
        <w:jc w:val="center"/>
        <w:rPr>
          <w:rFonts w:ascii="华文中宋" w:hAnsi="华文中宋" w:eastAsia="华文中宋"/>
          <w:b/>
          <w:sz w:val="32"/>
          <w:szCs w:val="32"/>
        </w:rPr>
      </w:pPr>
    </w:p>
    <w:p w14:paraId="1490E782">
      <w:pPr>
        <w:pStyle w:val="2"/>
      </w:pPr>
    </w:p>
    <w:p w14:paraId="7CFACE17">
      <w:pPr>
        <w:pStyle w:val="7"/>
        <w:ind w:left="132" w:leftChars="47"/>
        <w:jc w:val="center"/>
        <w:rPr>
          <w:rFonts w:hint="eastAsia" w:ascii="黑体" w:hAnsi="宋体" w:eastAsia="黑体"/>
          <w:color w:val="000000"/>
          <w:sz w:val="30"/>
          <w:szCs w:val="30"/>
        </w:rPr>
      </w:pPr>
    </w:p>
    <w:p w14:paraId="121F9801">
      <w:pPr>
        <w:pStyle w:val="7"/>
        <w:ind w:left="132" w:leftChars="47"/>
        <w:jc w:val="center"/>
        <w:rPr>
          <w:rFonts w:hint="default" w:ascii="黑体" w:hAnsi="宋体" w:eastAsia="黑体"/>
          <w:color w:val="000000"/>
          <w:sz w:val="30"/>
          <w:szCs w:val="30"/>
          <w:lang w:val="en-US" w:eastAsia="zh-CN"/>
        </w:rPr>
      </w:pPr>
      <w:r>
        <w:rPr>
          <w:rFonts w:hint="eastAsia" w:ascii="黑体" w:hAnsi="宋体" w:eastAsia="黑体"/>
          <w:color w:val="000000"/>
          <w:sz w:val="30"/>
          <w:szCs w:val="30"/>
          <w:lang w:val="en-US" w:eastAsia="zh-CN"/>
        </w:rPr>
        <w:t xml:space="preserve"> </w:t>
      </w:r>
      <w:r>
        <w:rPr>
          <w:rFonts w:hint="eastAsia" w:ascii="黑体" w:hAnsi="宋体" w:eastAsia="黑体"/>
          <w:color w:val="000000"/>
          <w:sz w:val="30"/>
          <w:szCs w:val="30"/>
        </w:rPr>
        <w:t>年</w:t>
      </w:r>
      <w:r>
        <w:rPr>
          <w:rFonts w:hint="eastAsia" w:ascii="黑体" w:hAnsi="宋体" w:eastAsia="黑体"/>
          <w:color w:val="000000"/>
          <w:sz w:val="30"/>
          <w:szCs w:val="30"/>
          <w:lang w:val="en-US" w:eastAsia="zh-CN"/>
        </w:rPr>
        <w:t xml:space="preserve"> 月</w:t>
      </w:r>
    </w:p>
    <w:p w14:paraId="5B4F73D5">
      <w:pPr>
        <w:rPr>
          <w:rFonts w:hint="eastAsia" w:ascii="仿宋" w:hAnsi="仿宋" w:eastAsia="仿宋" w:cs="仿宋"/>
          <w:sz w:val="28"/>
          <w:szCs w:val="28"/>
        </w:rPr>
      </w:pPr>
      <w:r>
        <w:rPr>
          <w:rFonts w:hint="eastAsia" w:ascii="宋体" w:hAnsi="宋体" w:cs="宋体"/>
          <w:sz w:val="24"/>
        </w:rPr>
        <w:br w:type="page"/>
      </w:r>
    </w:p>
    <w:p w14:paraId="0AB270E5">
      <w:pPr>
        <w:spacing w:afterLines="0" w:line="500" w:lineRule="exact"/>
        <w:ind w:firstLine="560" w:firstLineChars="200"/>
        <w:rPr>
          <w:rFonts w:hint="eastAsia" w:ascii="仿宋" w:hAnsi="仿宋" w:eastAsia="仿宋" w:cs="仿宋"/>
        </w:rPr>
      </w:pPr>
      <w:r>
        <w:rPr>
          <w:rFonts w:hint="eastAsia" w:ascii="仿宋" w:hAnsi="仿宋" w:eastAsia="仿宋" w:cs="仿宋"/>
        </w:rPr>
        <w:t>甲方：陕西省市场监督管理局信息中心</w:t>
      </w:r>
    </w:p>
    <w:p w14:paraId="41A7D72C">
      <w:pPr>
        <w:spacing w:afterLines="0" w:line="500" w:lineRule="exact"/>
        <w:ind w:firstLine="560" w:firstLineChars="200"/>
        <w:rPr>
          <w:rFonts w:hint="eastAsia" w:ascii="仿宋" w:hAnsi="仿宋" w:eastAsia="仿宋" w:cs="仿宋"/>
          <w:lang w:eastAsia="zh-CN"/>
        </w:rPr>
      </w:pPr>
      <w:r>
        <w:rPr>
          <w:rFonts w:hint="eastAsia" w:ascii="仿宋" w:hAnsi="仿宋" w:eastAsia="仿宋" w:cs="仿宋"/>
        </w:rPr>
        <w:t>地址：</w:t>
      </w:r>
      <w:r>
        <w:rPr>
          <w:rFonts w:hint="eastAsia" w:ascii="仿宋" w:hAnsi="仿宋" w:eastAsia="仿宋" w:cs="仿宋"/>
          <w:lang w:val="en-US" w:eastAsia="zh-CN"/>
        </w:rPr>
        <w:t xml:space="preserve"> </w:t>
      </w:r>
    </w:p>
    <w:p w14:paraId="7572E7C8">
      <w:pPr>
        <w:spacing w:afterLines="0" w:line="500" w:lineRule="exact"/>
        <w:ind w:firstLine="560" w:firstLineChars="200"/>
        <w:rPr>
          <w:rFonts w:hint="eastAsia" w:ascii="仿宋" w:hAnsi="仿宋" w:eastAsia="仿宋" w:cs="仿宋"/>
          <w:lang w:val="en-US" w:eastAsia="zh-CN"/>
        </w:rPr>
      </w:pPr>
      <w:r>
        <w:rPr>
          <w:rFonts w:hint="eastAsia" w:ascii="仿宋" w:hAnsi="仿宋" w:eastAsia="仿宋" w:cs="仿宋"/>
        </w:rPr>
        <w:t>乙方：</w:t>
      </w:r>
      <w:r>
        <w:rPr>
          <w:rFonts w:hint="eastAsia" w:ascii="仿宋" w:hAnsi="仿宋" w:eastAsia="仿宋" w:cs="仿宋"/>
          <w:lang w:val="en-US" w:eastAsia="zh-CN"/>
        </w:rPr>
        <w:t xml:space="preserve"> </w:t>
      </w:r>
    </w:p>
    <w:p w14:paraId="1B393172">
      <w:pPr>
        <w:spacing w:afterLines="0" w:line="500" w:lineRule="exact"/>
        <w:ind w:firstLine="560" w:firstLineChars="200"/>
        <w:rPr>
          <w:rFonts w:hint="eastAsia" w:ascii="仿宋" w:hAnsi="仿宋" w:eastAsia="仿宋" w:cs="仿宋"/>
          <w:lang w:eastAsia="zh-CN"/>
        </w:rPr>
      </w:pPr>
      <w:r>
        <w:rPr>
          <w:rFonts w:hint="eastAsia" w:ascii="仿宋" w:hAnsi="仿宋" w:eastAsia="仿宋" w:cs="仿宋"/>
        </w:rPr>
        <w:t>地址：</w:t>
      </w:r>
      <w:r>
        <w:rPr>
          <w:rFonts w:hint="eastAsia" w:ascii="仿宋" w:hAnsi="仿宋" w:eastAsia="仿宋" w:cs="仿宋"/>
          <w:lang w:val="en-US" w:eastAsia="zh-CN"/>
        </w:rPr>
        <w:t xml:space="preserve"> </w:t>
      </w:r>
    </w:p>
    <w:p w14:paraId="520A8F63">
      <w:pPr>
        <w:spacing w:afterLines="0" w:line="500" w:lineRule="exact"/>
        <w:ind w:firstLine="560" w:firstLineChars="200"/>
        <w:rPr>
          <w:rFonts w:hint="eastAsia" w:ascii="仿宋" w:hAnsi="仿宋" w:eastAsia="仿宋" w:cs="仿宋"/>
        </w:rPr>
      </w:pPr>
    </w:p>
    <w:p w14:paraId="50DA0372">
      <w:pPr>
        <w:spacing w:afterLines="0" w:line="500" w:lineRule="exact"/>
        <w:ind w:firstLine="560" w:firstLineChars="200"/>
        <w:rPr>
          <w:rFonts w:hint="eastAsia"/>
        </w:rPr>
      </w:pPr>
      <w:r>
        <w:rPr>
          <w:rFonts w:hint="eastAsia" w:ascii="仿宋" w:hAnsi="仿宋" w:eastAsia="仿宋" w:cs="仿宋"/>
        </w:rPr>
        <w:t>根据《中华人民共和国</w:t>
      </w:r>
      <w:r>
        <w:rPr>
          <w:rFonts w:hint="eastAsia" w:ascii="仿宋" w:hAnsi="仿宋" w:eastAsia="仿宋" w:cs="仿宋"/>
          <w:lang w:eastAsia="zh-CN"/>
        </w:rPr>
        <w:t>民法典</w:t>
      </w:r>
      <w:r>
        <w:rPr>
          <w:rFonts w:hint="eastAsia" w:ascii="仿宋" w:hAnsi="仿宋" w:eastAsia="仿宋" w:cs="仿宋"/>
        </w:rPr>
        <w:t>》及其他有关法律、法规，遵循平等、自愿、公平和诚信的原则，双方就下述项目范围与相关服务事项协商一致，订立本合同。</w:t>
      </w:r>
    </w:p>
    <w:p w14:paraId="4807BD91">
      <w:pPr>
        <w:pStyle w:val="4"/>
        <w:spacing w:afterLines="0" w:line="500" w:lineRule="exact"/>
        <w:ind w:firstLine="562" w:firstLineChars="200"/>
        <w:rPr>
          <w:rFonts w:hint="eastAsia" w:ascii="仿宋" w:hAnsi="仿宋" w:eastAsia="仿宋" w:cs="仿宋"/>
          <w:sz w:val="28"/>
          <w:szCs w:val="28"/>
        </w:rPr>
      </w:pPr>
      <w:r>
        <w:rPr>
          <w:rFonts w:hint="eastAsia" w:ascii="仿宋" w:hAnsi="仿宋" w:eastAsia="仿宋" w:cs="仿宋"/>
          <w:sz w:val="28"/>
          <w:szCs w:val="28"/>
        </w:rPr>
        <w:t>一、服务条件</w:t>
      </w:r>
    </w:p>
    <w:p w14:paraId="436E6EA5">
      <w:pPr>
        <w:spacing w:afterLines="0" w:line="500" w:lineRule="exact"/>
        <w:ind w:firstLine="560" w:firstLineChars="200"/>
        <w:rPr>
          <w:rFonts w:hint="eastAsia" w:ascii="仿宋" w:hAnsi="仿宋" w:eastAsia="仿宋" w:cs="仿宋"/>
          <w:sz w:val="24"/>
          <w:szCs w:val="24"/>
        </w:rPr>
      </w:pPr>
      <w:r>
        <w:rPr>
          <w:rFonts w:hint="eastAsia" w:ascii="仿宋" w:hAnsi="仿宋" w:eastAsia="仿宋" w:cs="仿宋"/>
        </w:rPr>
        <w:t>（一）服务地点：</w:t>
      </w:r>
      <w:r>
        <w:rPr>
          <w:rFonts w:hint="eastAsia" w:ascii="仿宋" w:hAnsi="仿宋" w:eastAsia="仿宋" w:cs="仿宋"/>
          <w:lang w:eastAsia="zh-CN"/>
        </w:rPr>
        <w:t>甲方</w:t>
      </w:r>
      <w:r>
        <w:rPr>
          <w:rFonts w:hint="eastAsia" w:ascii="仿宋" w:hAnsi="仿宋" w:eastAsia="仿宋" w:cs="仿宋"/>
        </w:rPr>
        <w:t>指定地点</w:t>
      </w:r>
    </w:p>
    <w:p w14:paraId="1A0088F5">
      <w:pPr>
        <w:spacing w:afterLines="0" w:line="500" w:lineRule="exact"/>
        <w:ind w:firstLine="560" w:firstLineChars="200"/>
        <w:rPr>
          <w:rFonts w:hint="eastAsia" w:ascii="仿宋" w:hAnsi="仿宋" w:eastAsia="仿宋" w:cs="仿宋"/>
          <w:highlight w:val="yellow"/>
          <w:lang w:val="en-US" w:eastAsia="zh-CN"/>
        </w:rPr>
      </w:pPr>
      <w:r>
        <w:rPr>
          <w:rFonts w:hint="eastAsia" w:ascii="仿宋" w:hAnsi="仿宋" w:eastAsia="仿宋" w:cs="仿宋"/>
        </w:rPr>
        <w:t>（二）服务期：</w:t>
      </w:r>
      <w:r>
        <w:rPr>
          <w:rFonts w:hint="eastAsia" w:ascii="仿宋" w:hAnsi="仿宋" w:eastAsia="仿宋" w:cs="仿宋"/>
          <w:lang w:val="en-US" w:eastAsia="zh-CN"/>
        </w:rPr>
        <w:t>服</w:t>
      </w:r>
      <w:bookmarkStart w:id="58" w:name="_GoBack"/>
      <w:bookmarkEnd w:id="58"/>
      <w:r>
        <w:rPr>
          <w:rFonts w:hint="eastAsia" w:ascii="仿宋" w:hAnsi="仿宋" w:eastAsia="仿宋" w:cs="仿宋"/>
          <w:lang w:val="en-US" w:eastAsia="zh-CN"/>
        </w:rPr>
        <w:t>务期1年。自合同签订之日起30 个工作日内完成线路的开通调试交付工作</w:t>
      </w:r>
      <w:r>
        <w:rPr>
          <w:rFonts w:hint="eastAsia" w:ascii="仿宋" w:hAnsi="仿宋" w:eastAsia="仿宋" w:cs="仿宋"/>
          <w:lang w:eastAsia="zh-CN"/>
        </w:rPr>
        <w:t>。</w:t>
      </w:r>
    </w:p>
    <w:bookmarkEnd w:id="0"/>
    <w:bookmarkEnd w:id="1"/>
    <w:bookmarkEnd w:id="2"/>
    <w:bookmarkEnd w:id="3"/>
    <w:bookmarkEnd w:id="4"/>
    <w:bookmarkEnd w:id="5"/>
    <w:bookmarkEnd w:id="6"/>
    <w:p w14:paraId="2D7E4662">
      <w:pPr>
        <w:pStyle w:val="4"/>
        <w:keepNext w:val="0"/>
        <w:widowControl w:val="0"/>
        <w:spacing w:line="480" w:lineRule="exact"/>
        <w:ind w:firstLine="567"/>
        <w:rPr>
          <w:rFonts w:hint="eastAsia" w:ascii="仿宋" w:hAnsi="仿宋" w:eastAsia="仿宋" w:cs="仿宋"/>
          <w:color w:val="auto"/>
          <w:sz w:val="28"/>
          <w:szCs w:val="28"/>
          <w:highlight w:val="none"/>
        </w:rPr>
      </w:pPr>
      <w:bookmarkStart w:id="7" w:name="_Toc17763"/>
      <w:bookmarkStart w:id="8" w:name="_Toc15895"/>
      <w:bookmarkStart w:id="9" w:name="_Toc4617"/>
      <w:bookmarkStart w:id="10" w:name="_Toc9904"/>
      <w:bookmarkStart w:id="11" w:name="_Toc21568"/>
      <w:bookmarkStart w:id="12" w:name="_Toc17753"/>
      <w:bookmarkStart w:id="13" w:name="_Toc22376"/>
      <w:r>
        <w:rPr>
          <w:rFonts w:hint="eastAsia" w:ascii="仿宋" w:hAnsi="仿宋" w:eastAsia="仿宋" w:cs="仿宋"/>
          <w:color w:val="auto"/>
          <w:sz w:val="28"/>
          <w:szCs w:val="28"/>
          <w:highlight w:val="none"/>
        </w:rPr>
        <w:t>二、合同价款</w:t>
      </w:r>
      <w:bookmarkEnd w:id="7"/>
      <w:bookmarkEnd w:id="8"/>
      <w:bookmarkEnd w:id="9"/>
      <w:bookmarkEnd w:id="10"/>
      <w:bookmarkEnd w:id="11"/>
      <w:bookmarkEnd w:id="12"/>
      <w:bookmarkEnd w:id="13"/>
    </w:p>
    <w:p w14:paraId="550D7896">
      <w:pPr>
        <w:widowControl w:val="0"/>
        <w:spacing w:line="480" w:lineRule="exact"/>
        <w:ind w:firstLine="560" w:firstLineChars="200"/>
        <w:rPr>
          <w:rFonts w:hint="eastAsia" w:ascii="仿宋" w:hAnsi="仿宋" w:eastAsia="仿宋" w:cs="仿宋"/>
          <w:color w:val="auto"/>
          <w:highlight w:val="none"/>
        </w:rPr>
      </w:pPr>
      <w:r>
        <w:rPr>
          <w:rFonts w:hint="eastAsia" w:ascii="仿宋" w:hAnsi="仿宋" w:eastAsia="仿宋" w:cs="仿宋"/>
          <w:color w:val="auto"/>
          <w:highlight w:val="none"/>
        </w:rPr>
        <w:t>合同金额（大写）：</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元整</w:t>
      </w: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元）。</w:t>
      </w:r>
    </w:p>
    <w:p w14:paraId="25117F7A">
      <w:pPr>
        <w:widowControl w:val="0"/>
        <w:spacing w:line="480" w:lineRule="exact"/>
        <w:ind w:firstLine="560" w:firstLineChars="200"/>
        <w:rPr>
          <w:rFonts w:hint="eastAsia" w:ascii="仿宋" w:hAnsi="仿宋" w:eastAsia="仿宋" w:cs="仿宋"/>
          <w:color w:val="auto"/>
          <w:highlight w:val="none"/>
        </w:rPr>
      </w:pPr>
      <w:r>
        <w:rPr>
          <w:rFonts w:hint="eastAsia" w:ascii="仿宋" w:hAnsi="仿宋" w:eastAsia="仿宋" w:cs="仿宋"/>
          <w:color w:val="auto"/>
          <w:highlight w:val="none"/>
        </w:rPr>
        <w:t>合同价格为含税价，</w:t>
      </w:r>
      <w:r>
        <w:rPr>
          <w:rFonts w:hint="eastAsia" w:ascii="仿宋" w:hAnsi="仿宋" w:eastAsia="仿宋" w:cs="仿宋"/>
          <w:color w:val="auto"/>
          <w:highlight w:val="none"/>
          <w:lang w:eastAsia="zh-CN"/>
        </w:rPr>
        <w:t>乙方</w:t>
      </w:r>
      <w:r>
        <w:rPr>
          <w:rFonts w:hint="eastAsia" w:ascii="仿宋" w:hAnsi="仿宋" w:eastAsia="仿宋" w:cs="仿宋"/>
          <w:color w:val="auto"/>
          <w:highlight w:val="none"/>
        </w:rPr>
        <w:t>提供服务所发生的一切费用等都已包含于合同价款中。</w:t>
      </w:r>
    </w:p>
    <w:p w14:paraId="50DAEE25">
      <w:pPr>
        <w:widowControl w:val="0"/>
        <w:spacing w:line="480" w:lineRule="exact"/>
        <w:ind w:firstLine="560" w:firstLineChars="200"/>
        <w:rPr>
          <w:rFonts w:hint="eastAsia" w:ascii="仿宋" w:hAnsi="仿宋" w:eastAsia="仿宋" w:cs="仿宋"/>
          <w:color w:val="auto"/>
          <w:highlight w:val="none"/>
        </w:rPr>
      </w:pPr>
      <w:r>
        <w:rPr>
          <w:rFonts w:hint="eastAsia" w:ascii="仿宋" w:hAnsi="仿宋" w:eastAsia="仿宋" w:cs="仿宋"/>
          <w:color w:val="auto"/>
          <w:highlight w:val="none"/>
        </w:rPr>
        <w:t>合同总价</w:t>
      </w:r>
      <w:r>
        <w:rPr>
          <w:rFonts w:hint="eastAsia" w:ascii="仿宋" w:hAnsi="仿宋" w:eastAsia="仿宋" w:cs="仿宋"/>
          <w:color w:val="auto"/>
          <w:highlight w:val="none"/>
          <w:lang w:eastAsia="zh-CN"/>
        </w:rPr>
        <w:t>一</w:t>
      </w:r>
      <w:r>
        <w:rPr>
          <w:rFonts w:hint="eastAsia" w:ascii="仿宋" w:hAnsi="仿宋" w:eastAsia="仿宋" w:cs="仿宋"/>
          <w:color w:val="auto"/>
          <w:highlight w:val="none"/>
        </w:rPr>
        <w:t>次性包死，不受市场价格变化因素的影响。</w:t>
      </w:r>
    </w:p>
    <w:p w14:paraId="45201482">
      <w:pPr>
        <w:pStyle w:val="4"/>
        <w:keepNext w:val="0"/>
        <w:widowControl w:val="0"/>
        <w:spacing w:line="480" w:lineRule="exact"/>
        <w:ind w:firstLine="567"/>
        <w:rPr>
          <w:rFonts w:hint="eastAsia" w:ascii="仿宋" w:hAnsi="仿宋" w:eastAsia="仿宋" w:cs="仿宋"/>
          <w:color w:val="auto"/>
          <w:sz w:val="28"/>
          <w:szCs w:val="28"/>
          <w:highlight w:val="none"/>
        </w:rPr>
      </w:pPr>
      <w:bookmarkStart w:id="14" w:name="_Toc8545"/>
      <w:bookmarkStart w:id="15" w:name="_Toc8934"/>
      <w:bookmarkStart w:id="16" w:name="_Toc16040"/>
      <w:bookmarkStart w:id="17" w:name="_Toc11640"/>
      <w:bookmarkStart w:id="18" w:name="_Toc21822"/>
      <w:bookmarkStart w:id="19" w:name="_Toc12656"/>
      <w:bookmarkStart w:id="20" w:name="_Toc23738"/>
      <w:r>
        <w:rPr>
          <w:rFonts w:hint="eastAsia" w:ascii="仿宋" w:hAnsi="仿宋" w:eastAsia="仿宋" w:cs="仿宋"/>
          <w:color w:val="auto"/>
          <w:sz w:val="28"/>
          <w:szCs w:val="28"/>
          <w:highlight w:val="none"/>
        </w:rPr>
        <w:t>三、款项结算</w:t>
      </w:r>
      <w:bookmarkEnd w:id="14"/>
      <w:bookmarkEnd w:id="15"/>
      <w:bookmarkEnd w:id="16"/>
      <w:bookmarkEnd w:id="17"/>
      <w:bookmarkEnd w:id="18"/>
      <w:bookmarkEnd w:id="19"/>
      <w:bookmarkEnd w:id="20"/>
    </w:p>
    <w:p w14:paraId="3184A1A8">
      <w:pPr>
        <w:widowControl w:val="0"/>
        <w:spacing w:line="500" w:lineRule="exact"/>
        <w:ind w:firstLine="560" w:firstLineChars="200"/>
        <w:rPr>
          <w:rFonts w:hint="eastAsia" w:ascii="仿宋" w:hAnsi="仿宋" w:eastAsia="仿宋" w:cs="仿宋"/>
          <w:color w:val="auto"/>
          <w:highlight w:val="none"/>
        </w:rPr>
      </w:pPr>
      <w:r>
        <w:rPr>
          <w:rFonts w:hint="eastAsia" w:ascii="仿宋" w:hAnsi="仿宋" w:eastAsia="仿宋" w:cs="仿宋"/>
          <w:color w:val="auto"/>
          <w:highlight w:val="none"/>
        </w:rPr>
        <w:t>（一）支付方式：银行转账</w:t>
      </w:r>
    </w:p>
    <w:p w14:paraId="21C76125">
      <w:pPr>
        <w:widowControl w:val="0"/>
        <w:spacing w:line="500" w:lineRule="exact"/>
        <w:ind w:firstLine="560" w:firstLineChars="200"/>
        <w:rPr>
          <w:rFonts w:hint="eastAsia" w:ascii="仿宋" w:hAnsi="仿宋" w:eastAsia="仿宋" w:cs="仿宋"/>
          <w:color w:val="auto"/>
          <w:highlight w:val="none"/>
        </w:rPr>
      </w:pPr>
      <w:r>
        <w:rPr>
          <w:rFonts w:hint="eastAsia" w:ascii="仿宋" w:hAnsi="仿宋" w:eastAsia="仿宋" w:cs="仿宋"/>
          <w:color w:val="auto"/>
          <w:highlight w:val="none"/>
        </w:rPr>
        <w:t>（二）货币单位：人民币</w:t>
      </w:r>
    </w:p>
    <w:p w14:paraId="471DF0EA">
      <w:pPr>
        <w:pStyle w:val="8"/>
        <w:spacing w:line="500" w:lineRule="exact"/>
        <w:ind w:firstLine="560" w:firstLineChars="200"/>
        <w:jc w:val="left"/>
        <w:rPr>
          <w:rFonts w:hint="eastAsia" w:ascii="仿宋" w:hAnsi="仿宋" w:eastAsia="仿宋" w:cs="仿宋"/>
          <w:sz w:val="28"/>
          <w:szCs w:val="28"/>
          <w:lang w:eastAsia="zh-CN"/>
        </w:rPr>
      </w:pPr>
      <w:bookmarkStart w:id="21" w:name="_Toc9246"/>
      <w:bookmarkStart w:id="22" w:name="_Toc31259"/>
      <w:bookmarkStart w:id="23" w:name="_Toc25449"/>
      <w:bookmarkStart w:id="24" w:name="_Toc11990"/>
      <w:bookmarkStart w:id="25" w:name="_Toc30971"/>
      <w:bookmarkStart w:id="26" w:name="_Toc10135"/>
      <w:r>
        <w:rPr>
          <w:rFonts w:hint="eastAsia" w:ascii="仿宋" w:hAnsi="仿宋" w:eastAsia="仿宋" w:cs="仿宋"/>
          <w:color w:val="auto"/>
          <w:sz w:val="28"/>
          <w:szCs w:val="28"/>
          <w:highlight w:val="none"/>
        </w:rPr>
        <w:t>（三）结算方式：</w:t>
      </w:r>
      <w:r>
        <w:rPr>
          <w:rFonts w:hint="eastAsia" w:ascii="仿宋" w:hAnsi="仿宋" w:eastAsia="仿宋" w:cs="仿宋"/>
          <w:color w:val="auto"/>
          <w:kern w:val="2"/>
          <w:sz w:val="28"/>
          <w:szCs w:val="28"/>
          <w:highlight w:val="none"/>
          <w:lang w:val="en-US" w:eastAsia="zh-CN" w:bidi="ar-SA"/>
        </w:rPr>
        <w:t>合同签订后5日内支付合同总金额的 90%，验收合格后5日内支付合同总金额的 10.00%。</w:t>
      </w:r>
    </w:p>
    <w:p w14:paraId="3E17BC9C">
      <w:pPr>
        <w:pStyle w:val="8"/>
        <w:spacing w:line="500" w:lineRule="exact"/>
        <w:ind w:firstLine="560" w:firstLineChars="20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乙方开户行：</w:t>
      </w:r>
      <w:r>
        <w:rPr>
          <w:rFonts w:hint="eastAsia" w:ascii="仿宋" w:hAnsi="仿宋" w:eastAsia="仿宋" w:cs="仿宋"/>
          <w:sz w:val="28"/>
          <w:szCs w:val="28"/>
          <w:u w:val="single"/>
          <w:lang w:val="en-US" w:eastAsia="zh-CN"/>
        </w:rPr>
        <w:t xml:space="preserve"> </w:t>
      </w:r>
    </w:p>
    <w:p w14:paraId="6F511440">
      <w:pPr>
        <w:pStyle w:val="8"/>
        <w:spacing w:line="500" w:lineRule="exact"/>
        <w:ind w:firstLine="560" w:firstLineChars="200"/>
        <w:jc w:val="left"/>
        <w:rPr>
          <w:rFonts w:hint="eastAsia" w:ascii="仿宋" w:hAnsi="仿宋" w:eastAsia="仿宋" w:cs="仿宋"/>
          <w:sz w:val="28"/>
          <w:szCs w:val="28"/>
          <w:u w:val="single"/>
          <w:lang w:val="en-US" w:eastAsia="zh-CN"/>
        </w:rPr>
      </w:pPr>
      <w:r>
        <w:rPr>
          <w:rFonts w:hint="eastAsia" w:ascii="仿宋" w:hAnsi="仿宋" w:eastAsia="仿宋" w:cs="仿宋"/>
          <w:sz w:val="28"/>
          <w:szCs w:val="28"/>
          <w:lang w:eastAsia="zh-CN"/>
        </w:rPr>
        <w:t>乙方户</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名：</w:t>
      </w:r>
      <w:r>
        <w:rPr>
          <w:rFonts w:hint="eastAsia" w:ascii="仿宋" w:hAnsi="仿宋" w:eastAsia="仿宋" w:cs="仿宋"/>
          <w:sz w:val="28"/>
          <w:szCs w:val="28"/>
          <w:u w:val="single"/>
          <w:lang w:val="en-US" w:eastAsia="zh-CN"/>
        </w:rPr>
        <w:t xml:space="preserve"> </w:t>
      </w:r>
    </w:p>
    <w:p w14:paraId="020EFA31">
      <w:pPr>
        <w:pStyle w:val="8"/>
        <w:spacing w:line="500" w:lineRule="exact"/>
        <w:ind w:firstLine="560" w:firstLineChars="200"/>
        <w:jc w:val="left"/>
        <w:rPr>
          <w:rFonts w:hint="eastAsia" w:ascii="仿宋" w:hAnsi="仿宋" w:eastAsia="仿宋" w:cs="仿宋"/>
          <w:sz w:val="28"/>
          <w:szCs w:val="28"/>
          <w:u w:val="single"/>
          <w:lang w:eastAsia="zh-CN"/>
        </w:rPr>
      </w:pPr>
      <w:r>
        <w:rPr>
          <w:rFonts w:hint="eastAsia" w:ascii="仿宋" w:hAnsi="仿宋" w:eastAsia="仿宋" w:cs="仿宋"/>
          <w:sz w:val="28"/>
          <w:szCs w:val="28"/>
          <w:lang w:eastAsia="zh-CN"/>
        </w:rPr>
        <w:t>乙方账</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号：</w:t>
      </w:r>
      <w:r>
        <w:rPr>
          <w:rFonts w:hint="eastAsia" w:ascii="仿宋" w:hAnsi="仿宋" w:eastAsia="仿宋" w:cs="仿宋"/>
          <w:sz w:val="28"/>
          <w:szCs w:val="28"/>
          <w:u w:val="single"/>
          <w:lang w:eastAsia="zh-CN"/>
        </w:rPr>
        <w:t xml:space="preserve"> </w:t>
      </w:r>
    </w:p>
    <w:p w14:paraId="755DCB29">
      <w:pPr>
        <w:pStyle w:val="4"/>
        <w:keepNext w:val="0"/>
        <w:widowControl w:val="0"/>
        <w:spacing w:line="480" w:lineRule="exact"/>
        <w:ind w:firstLine="567"/>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四</w:t>
      </w:r>
      <w:r>
        <w:rPr>
          <w:rFonts w:hint="eastAsia" w:ascii="仿宋" w:hAnsi="仿宋" w:eastAsia="仿宋" w:cs="仿宋"/>
          <w:color w:val="auto"/>
          <w:sz w:val="28"/>
          <w:szCs w:val="28"/>
          <w:highlight w:val="none"/>
        </w:rPr>
        <w:t>、</w:t>
      </w:r>
      <w:r>
        <w:rPr>
          <w:rFonts w:hint="eastAsia" w:ascii="仿宋" w:hAnsi="仿宋" w:eastAsia="仿宋" w:cs="仿宋"/>
          <w:sz w:val="28"/>
          <w:szCs w:val="28"/>
          <w:lang w:val="en-US" w:eastAsia="zh-CN"/>
        </w:rPr>
        <w:t>验收</w:t>
      </w:r>
      <w:bookmarkEnd w:id="21"/>
      <w:bookmarkEnd w:id="22"/>
      <w:bookmarkEnd w:id="23"/>
      <w:bookmarkEnd w:id="24"/>
      <w:bookmarkEnd w:id="25"/>
      <w:bookmarkEnd w:id="26"/>
    </w:p>
    <w:p w14:paraId="64336F1D">
      <w:pPr>
        <w:keepNext w:val="0"/>
        <w:keepLines w:val="0"/>
        <w:pageBreakBefore w:val="0"/>
        <w:widowControl/>
        <w:kinsoku/>
        <w:wordWrap/>
        <w:overflowPunct/>
        <w:topLinePunct w:val="0"/>
        <w:autoSpaceDE/>
        <w:autoSpaceDN/>
        <w:bidi w:val="0"/>
        <w:adjustRightInd/>
        <w:snapToGrid/>
        <w:spacing w:afterLines="0" w:line="500" w:lineRule="exact"/>
        <w:ind w:left="0" w:leftChars="0" w:firstLine="560" w:firstLineChars="200"/>
        <w:textAlignment w:val="auto"/>
        <w:rPr>
          <w:rFonts w:hint="eastAsia" w:ascii="仿宋" w:hAnsi="仿宋" w:eastAsia="仿宋" w:cs="仿宋"/>
          <w:sz w:val="28"/>
          <w:szCs w:val="28"/>
          <w:lang w:val="en-US" w:eastAsia="zh-CN"/>
        </w:rPr>
      </w:pPr>
      <w:bookmarkStart w:id="27" w:name="_Toc32128"/>
      <w:bookmarkStart w:id="28" w:name="_Toc21913"/>
      <w:bookmarkStart w:id="29" w:name="_Toc14416"/>
      <w:bookmarkStart w:id="30" w:name="_Toc27899"/>
      <w:bookmarkStart w:id="31" w:name="_Toc17017"/>
      <w:bookmarkStart w:id="32" w:name="_Toc29963"/>
      <w:r>
        <w:rPr>
          <w:rFonts w:hint="eastAsia" w:ascii="仿宋" w:hAnsi="仿宋" w:eastAsia="仿宋" w:cs="仿宋"/>
          <w:color w:val="auto"/>
          <w:highlight w:val="none"/>
        </w:rPr>
        <w:t>（一）</w:t>
      </w:r>
      <w:r>
        <w:rPr>
          <w:rFonts w:hint="eastAsia" w:ascii="仿宋" w:hAnsi="仿宋" w:eastAsia="仿宋" w:cs="仿宋"/>
          <w:sz w:val="28"/>
          <w:szCs w:val="28"/>
          <w:lang w:val="en-US" w:eastAsia="zh-CN"/>
        </w:rPr>
        <w:t>甲方应当在收到业务竣工单后的五日内验收核实，电路服务确已根据本合同约定和国家有关电信业务规定开通的，甲方应签字或盖章确认。电路服务实际开通日，以甲方或甲方当地下属机构与开通地点的甲方代表签字或盖章确认的日期为准。</w:t>
      </w:r>
    </w:p>
    <w:p w14:paraId="513D0102">
      <w:pPr>
        <w:keepNext w:val="0"/>
        <w:keepLines w:val="0"/>
        <w:pageBreakBefore w:val="0"/>
        <w:widowControl/>
        <w:kinsoku/>
        <w:wordWrap/>
        <w:overflowPunct/>
        <w:topLinePunct w:val="0"/>
        <w:autoSpaceDE/>
        <w:autoSpaceDN/>
        <w:bidi w:val="0"/>
        <w:adjustRightInd/>
        <w:snapToGrid/>
        <w:spacing w:afterLines="0" w:line="5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color w:val="auto"/>
          <w:highlight w:val="none"/>
        </w:rPr>
        <w:t>（</w:t>
      </w:r>
      <w:r>
        <w:rPr>
          <w:rFonts w:hint="eastAsia" w:ascii="仿宋" w:hAnsi="仿宋" w:eastAsia="仿宋" w:cs="仿宋"/>
          <w:color w:val="auto"/>
          <w:highlight w:val="none"/>
          <w:lang w:eastAsia="zh-CN"/>
        </w:rPr>
        <w:t>二</w:t>
      </w:r>
      <w:r>
        <w:rPr>
          <w:rFonts w:hint="eastAsia" w:ascii="仿宋" w:hAnsi="仿宋" w:eastAsia="仿宋" w:cs="仿宋"/>
          <w:color w:val="auto"/>
          <w:highlight w:val="none"/>
        </w:rPr>
        <w:t>）</w:t>
      </w:r>
      <w:r>
        <w:rPr>
          <w:rFonts w:hint="eastAsia" w:ascii="仿宋" w:hAnsi="仿宋" w:eastAsia="仿宋" w:cs="仿宋"/>
          <w:sz w:val="28"/>
          <w:szCs w:val="28"/>
          <w:lang w:val="en-US" w:eastAsia="zh-CN"/>
        </w:rPr>
        <w:t>若甲方在收到业务竣工单后5日内未签字或盖章确认、也未书面提出异议的，视为乙方已按照合同约定和国家有关电信业务规定开通电路服务，业务竣工单载明的实际开通日期为电路服务的实际开通日。</w:t>
      </w:r>
    </w:p>
    <w:p w14:paraId="34B24B30">
      <w:pPr>
        <w:keepNext w:val="0"/>
        <w:keepLines w:val="0"/>
        <w:pageBreakBefore w:val="0"/>
        <w:widowControl/>
        <w:kinsoku/>
        <w:wordWrap/>
        <w:overflowPunct/>
        <w:topLinePunct w:val="0"/>
        <w:autoSpaceDE/>
        <w:autoSpaceDN/>
        <w:bidi w:val="0"/>
        <w:adjustRightInd/>
        <w:snapToGrid/>
        <w:spacing w:afterLines="0" w:line="50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color w:val="auto"/>
          <w:highlight w:val="none"/>
        </w:rPr>
        <w:t>（</w:t>
      </w:r>
      <w:r>
        <w:rPr>
          <w:rFonts w:hint="eastAsia" w:ascii="仿宋" w:hAnsi="仿宋" w:eastAsia="仿宋" w:cs="仿宋"/>
          <w:color w:val="auto"/>
          <w:highlight w:val="none"/>
          <w:lang w:eastAsia="zh-CN"/>
        </w:rPr>
        <w:t>三</w:t>
      </w:r>
      <w:r>
        <w:rPr>
          <w:rFonts w:hint="eastAsia" w:ascii="仿宋" w:hAnsi="仿宋" w:eastAsia="仿宋" w:cs="仿宋"/>
          <w:color w:val="auto"/>
          <w:highlight w:val="none"/>
        </w:rPr>
        <w:t>）</w:t>
      </w:r>
      <w:r>
        <w:rPr>
          <w:rFonts w:hint="eastAsia" w:ascii="仿宋" w:hAnsi="仿宋" w:eastAsia="仿宋" w:cs="仿宋"/>
          <w:sz w:val="28"/>
          <w:szCs w:val="28"/>
          <w:lang w:val="en-US" w:eastAsia="zh-CN"/>
        </w:rPr>
        <w:t>如甲方在收到业务竣工单后未验收并在5日内提出不使用电路服务的，则视为甲方提前终止服务，此时，甲方应承担本合同约定相关费用。</w:t>
      </w:r>
    </w:p>
    <w:p w14:paraId="7C0DD704">
      <w:pPr>
        <w:pStyle w:val="4"/>
        <w:keepNext w:val="0"/>
        <w:widowControl w:val="0"/>
        <w:spacing w:line="480" w:lineRule="exact"/>
        <w:ind w:firstLine="567"/>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五</w:t>
      </w:r>
      <w:r>
        <w:rPr>
          <w:rFonts w:hint="eastAsia" w:ascii="仿宋" w:hAnsi="仿宋" w:eastAsia="仿宋" w:cs="仿宋"/>
          <w:color w:val="auto"/>
          <w:sz w:val="28"/>
          <w:szCs w:val="28"/>
          <w:highlight w:val="none"/>
        </w:rPr>
        <w:t>、服务承诺</w:t>
      </w:r>
      <w:bookmarkEnd w:id="27"/>
      <w:bookmarkEnd w:id="28"/>
      <w:bookmarkEnd w:id="29"/>
      <w:bookmarkEnd w:id="30"/>
      <w:bookmarkEnd w:id="31"/>
      <w:bookmarkEnd w:id="32"/>
    </w:p>
    <w:p w14:paraId="11D5BE26">
      <w:pPr>
        <w:widowControl w:val="0"/>
        <w:spacing w:line="480" w:lineRule="exact"/>
        <w:ind w:firstLine="560" w:firstLineChars="200"/>
        <w:rPr>
          <w:rFonts w:hint="eastAsia" w:ascii="仿宋" w:hAnsi="仿宋" w:eastAsia="仿宋" w:cs="仿宋"/>
          <w:color w:val="auto"/>
          <w:highlight w:val="none"/>
        </w:rPr>
      </w:pPr>
      <w:r>
        <w:rPr>
          <w:rFonts w:hint="eastAsia" w:ascii="仿宋" w:hAnsi="仿宋" w:eastAsia="仿宋" w:cs="仿宋"/>
          <w:color w:val="auto"/>
          <w:highlight w:val="none"/>
          <w:lang w:eastAsia="zh-CN"/>
        </w:rPr>
        <w:t>乙方</w:t>
      </w:r>
      <w:r>
        <w:rPr>
          <w:rFonts w:hint="eastAsia" w:ascii="仿宋" w:hAnsi="仿宋" w:eastAsia="仿宋" w:cs="仿宋"/>
          <w:color w:val="auto"/>
          <w:highlight w:val="none"/>
        </w:rPr>
        <w:t>承诺提供VIP 级别保障服务，提供7*24 小时的故障报修体系，承诺在报障后4 小时内排除网络故障，维护工程师每月上门走访巡检，了解网络使用状况；一季度提供一次网络运行报告，对该季度用户的网络运行情况做全方位的分析</w:t>
      </w:r>
      <w:r>
        <w:rPr>
          <w:rFonts w:hint="eastAsia" w:ascii="仿宋" w:hAnsi="仿宋" w:eastAsia="仿宋" w:cs="仿宋"/>
          <w:color w:val="auto"/>
          <w:highlight w:val="none"/>
          <w:lang w:val="en-US" w:eastAsia="zh-CN"/>
        </w:rPr>
        <w:t>，其他</w:t>
      </w:r>
      <w:r>
        <w:rPr>
          <w:rFonts w:hint="eastAsia" w:ascii="仿宋" w:hAnsi="仿宋" w:eastAsia="仿宋" w:cs="仿宋"/>
          <w:color w:val="auto"/>
          <w:highlight w:val="none"/>
        </w:rPr>
        <w:t>以</w:t>
      </w:r>
      <w:r>
        <w:rPr>
          <w:rFonts w:hint="eastAsia" w:ascii="仿宋" w:hAnsi="仿宋" w:eastAsia="仿宋" w:cs="仿宋"/>
          <w:color w:val="auto"/>
          <w:highlight w:val="none"/>
          <w:lang w:val="en-US" w:eastAsia="zh-CN"/>
        </w:rPr>
        <w:t>投标</w:t>
      </w:r>
      <w:r>
        <w:rPr>
          <w:rFonts w:hint="eastAsia" w:ascii="仿宋" w:hAnsi="仿宋" w:eastAsia="仿宋" w:cs="仿宋"/>
          <w:color w:val="auto"/>
          <w:highlight w:val="none"/>
        </w:rPr>
        <w:t>响应文件</w:t>
      </w:r>
      <w:r>
        <w:rPr>
          <w:rFonts w:hint="eastAsia" w:ascii="仿宋" w:hAnsi="仿宋" w:eastAsia="仿宋" w:cs="仿宋"/>
          <w:color w:val="auto"/>
          <w:highlight w:val="none"/>
          <w:lang w:val="en-US" w:eastAsia="zh-CN"/>
        </w:rPr>
        <w:t>中相关服务承诺</w:t>
      </w:r>
      <w:r>
        <w:rPr>
          <w:rFonts w:hint="eastAsia" w:ascii="仿宋" w:hAnsi="仿宋" w:eastAsia="仿宋" w:cs="仿宋"/>
          <w:color w:val="auto"/>
          <w:highlight w:val="none"/>
        </w:rPr>
        <w:t>为准。</w:t>
      </w:r>
    </w:p>
    <w:p w14:paraId="6CC94AFA">
      <w:pPr>
        <w:pStyle w:val="4"/>
        <w:pageBreakBefore w:val="0"/>
        <w:widowControl/>
        <w:kinsoku/>
        <w:wordWrap/>
        <w:overflowPunct/>
        <w:topLinePunct w:val="0"/>
        <w:autoSpaceDE/>
        <w:autoSpaceDN/>
        <w:bidi w:val="0"/>
        <w:spacing w:line="500" w:lineRule="exact"/>
        <w:ind w:firstLine="562" w:firstLineChars="200"/>
        <w:textAlignment w:val="auto"/>
        <w:rPr>
          <w:rFonts w:hint="eastAsia" w:ascii="仿宋" w:hAnsi="仿宋" w:eastAsia="仿宋" w:cs="仿宋"/>
          <w:color w:val="auto"/>
          <w:sz w:val="28"/>
          <w:szCs w:val="28"/>
          <w:highlight w:val="none"/>
        </w:rPr>
      </w:pPr>
      <w:bookmarkStart w:id="33" w:name="_Toc7124"/>
      <w:bookmarkStart w:id="34" w:name="_Toc27441"/>
      <w:bookmarkStart w:id="35" w:name="_Toc12734"/>
      <w:bookmarkStart w:id="36" w:name="_Toc18148"/>
      <w:bookmarkStart w:id="37" w:name="_Toc6142"/>
      <w:bookmarkStart w:id="38" w:name="_Toc12798"/>
      <w:r>
        <w:rPr>
          <w:rFonts w:hint="eastAsia" w:ascii="仿宋" w:hAnsi="仿宋" w:eastAsia="仿宋" w:cs="仿宋"/>
          <w:color w:val="auto"/>
          <w:sz w:val="28"/>
          <w:szCs w:val="28"/>
          <w:highlight w:val="none"/>
          <w:lang w:val="en-US" w:eastAsia="zh-CN"/>
        </w:rPr>
        <w:t>六</w:t>
      </w:r>
      <w:r>
        <w:rPr>
          <w:rFonts w:hint="eastAsia" w:ascii="仿宋" w:hAnsi="仿宋" w:eastAsia="仿宋" w:cs="仿宋"/>
          <w:color w:val="auto"/>
          <w:sz w:val="28"/>
          <w:szCs w:val="28"/>
          <w:highlight w:val="none"/>
        </w:rPr>
        <w:t>、违约责任</w:t>
      </w:r>
      <w:bookmarkEnd w:id="33"/>
      <w:bookmarkEnd w:id="34"/>
      <w:bookmarkEnd w:id="35"/>
      <w:bookmarkEnd w:id="36"/>
      <w:bookmarkEnd w:id="37"/>
      <w:bookmarkEnd w:id="38"/>
    </w:p>
    <w:p w14:paraId="1080C8F2">
      <w:pPr>
        <w:pageBreakBefore w:val="0"/>
        <w:widowControl/>
        <w:kinsoku/>
        <w:wordWrap/>
        <w:overflowPunct/>
        <w:topLinePunct w:val="0"/>
        <w:autoSpaceDE/>
        <w:autoSpaceDN/>
        <w:bidi w:val="0"/>
        <w:adjustRightInd w:val="0"/>
        <w:snapToGrid w:val="0"/>
        <w:spacing w:line="500" w:lineRule="exact"/>
        <w:ind w:firstLine="56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（一）按《中华人民共和国民法典》中的相关条款执行。</w:t>
      </w:r>
    </w:p>
    <w:p w14:paraId="45129507">
      <w:pPr>
        <w:pageBreakBefore w:val="0"/>
        <w:widowControl/>
        <w:kinsoku/>
        <w:wordWrap/>
        <w:overflowPunct/>
        <w:topLinePunct w:val="0"/>
        <w:autoSpaceDE/>
        <w:autoSpaceDN/>
        <w:bidi w:val="0"/>
        <w:adjustRightInd w:val="0"/>
        <w:snapToGrid w:val="0"/>
        <w:spacing w:line="500" w:lineRule="exact"/>
        <w:ind w:firstLine="56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（二）未按合同要求提供服务或服务质量不能满足合同要求，</w:t>
      </w:r>
      <w:r>
        <w:rPr>
          <w:rFonts w:hint="eastAsia" w:ascii="仿宋" w:hAnsi="仿宋" w:eastAsia="仿宋" w:cs="仿宋"/>
          <w:color w:val="auto"/>
          <w:highlight w:val="none"/>
          <w:lang w:eastAsia="zh-CN"/>
        </w:rPr>
        <w:t>甲方</w:t>
      </w:r>
      <w:r>
        <w:rPr>
          <w:rFonts w:hint="eastAsia" w:ascii="仿宋" w:hAnsi="仿宋" w:eastAsia="仿宋" w:cs="仿宋"/>
          <w:color w:val="auto"/>
          <w:highlight w:val="none"/>
        </w:rPr>
        <w:t>有权依据《中华人民共和国民法典》有关条款及合同约定终止合同，并要求</w:t>
      </w:r>
      <w:r>
        <w:rPr>
          <w:rFonts w:hint="eastAsia" w:ascii="仿宋" w:hAnsi="仿宋" w:eastAsia="仿宋" w:cs="仿宋"/>
          <w:color w:val="auto"/>
          <w:highlight w:val="none"/>
          <w:lang w:eastAsia="zh-CN"/>
        </w:rPr>
        <w:t>乙方</w:t>
      </w:r>
      <w:r>
        <w:rPr>
          <w:rFonts w:hint="eastAsia" w:ascii="仿宋" w:hAnsi="仿宋" w:eastAsia="仿宋" w:cs="仿宋"/>
          <w:color w:val="auto"/>
          <w:highlight w:val="none"/>
        </w:rPr>
        <w:t>承担违约责任。</w:t>
      </w:r>
    </w:p>
    <w:p w14:paraId="27D647CF">
      <w:pPr>
        <w:spacing w:afterLines="0" w:line="500" w:lineRule="exact"/>
        <w:ind w:firstLine="560" w:firstLineChars="200"/>
        <w:rPr>
          <w:rFonts w:hint="eastAsia" w:ascii="仿宋" w:hAnsi="仿宋" w:eastAsia="仿宋" w:cs="仿宋"/>
          <w:lang w:val="en-US" w:eastAsia="zh-CN"/>
        </w:rPr>
      </w:pPr>
      <w:r>
        <w:rPr>
          <w:rFonts w:hint="eastAsia" w:ascii="仿宋" w:hAnsi="仿宋" w:eastAsia="仿宋" w:cs="仿宋"/>
          <w:lang w:val="en-US" w:eastAsia="zh-CN"/>
        </w:rPr>
        <w:t>（三）如甲方使用电路违反本合同约定的，如将电路服务以转让或其他任何方式提供给第三方，或将电路服务用于本合同约定用途以外的其他用途，或在合同期内实施了任何违反国家法律法规的行为，乙方有权立即终止本合同。</w:t>
      </w:r>
    </w:p>
    <w:p w14:paraId="51B2FCAE">
      <w:pPr>
        <w:spacing w:afterLines="0" w:line="500" w:lineRule="exact"/>
        <w:ind w:firstLine="560" w:firstLineChars="200"/>
        <w:rPr>
          <w:rFonts w:hint="eastAsia" w:ascii="仿宋" w:hAnsi="仿宋" w:eastAsia="仿宋" w:cs="仿宋"/>
          <w:sz w:val="28"/>
          <w:lang w:val="en-US" w:eastAsia="zh-CN"/>
        </w:rPr>
      </w:pPr>
      <w:bookmarkStart w:id="39" w:name="_Toc2690"/>
      <w:bookmarkStart w:id="40" w:name="_Toc27716"/>
      <w:bookmarkStart w:id="41" w:name="_Toc2022"/>
      <w:bookmarkStart w:id="42" w:name="_Toc13565"/>
      <w:r>
        <w:rPr>
          <w:rFonts w:hint="eastAsia" w:ascii="仿宋" w:hAnsi="仿宋" w:eastAsia="仿宋" w:cs="仿宋"/>
          <w:sz w:val="28"/>
          <w:lang w:val="en-US" w:eastAsia="zh-CN"/>
        </w:rPr>
        <w:t>（四）如果因甲方原因（域名劫持、网站被黑等情况除外），在同一个IP地址反复出现未备案网站或出现主体信息错误或与实际不符的情况的，乙方有权终止服务并将甲方列入黑名单，此后乙方有权不再受理甲方业务的申请。以上关停处置措施有可能导致甲方同一IP地址的其他网站也被关停。相关网站被关停的后果由甲方自行承担。</w:t>
      </w:r>
    </w:p>
    <w:p w14:paraId="075FD513">
      <w:pPr>
        <w:pStyle w:val="5"/>
        <w:pageBreakBefore w:val="0"/>
        <w:widowControl/>
        <w:kinsoku/>
        <w:wordWrap/>
        <w:overflowPunct/>
        <w:topLinePunct w:val="0"/>
        <w:autoSpaceDE/>
        <w:autoSpaceDN/>
        <w:bidi w:val="0"/>
        <w:spacing w:afterLines="0" w:line="50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sz w:val="28"/>
          <w:lang w:val="en-US" w:eastAsia="zh-CN"/>
        </w:rPr>
        <w:t>（五）如甲方逾期付费，除补交欠费之外，每逾期一日应按照所欠金额的千分之三支付违约金。逾期付费累计超过30日的，乙方有权暂停向甲方提供电路业务服务；暂停服务60日内仍未补交电路服务费和违约金的，乙方有权终止本合同，甲方仍应承担上述违约责任。</w:t>
      </w:r>
    </w:p>
    <w:p w14:paraId="4B20CDB3">
      <w:pPr>
        <w:spacing w:afterLines="0" w:line="500" w:lineRule="exact"/>
        <w:ind w:firstLine="560" w:firstLineChars="200"/>
        <w:rPr>
          <w:rFonts w:hint="eastAsia" w:ascii="仿宋" w:hAnsi="仿宋" w:eastAsia="仿宋" w:cs="仿宋"/>
          <w:sz w:val="28"/>
          <w:lang w:val="en-US" w:eastAsia="zh-CN"/>
        </w:rPr>
      </w:pPr>
      <w:r>
        <w:rPr>
          <w:rFonts w:hint="eastAsia" w:ascii="仿宋" w:hAnsi="仿宋" w:eastAsia="仿宋" w:cs="仿宋"/>
          <w:sz w:val="28"/>
          <w:lang w:val="en-US" w:eastAsia="zh-CN"/>
        </w:rPr>
        <w:t>（六）在满足开通条件的情况下，如确因乙方原因，不能在本合同规定的开通时限内开通电路服务，则每逾期一日按照所收取的相应电路月服务费用的百分之一的比例作为给甲方的赔付，并在首月月服务费中直接抵扣，赔付金额最多不超过首月月服务费。如逾期30日仍不能开通，则甲方有权终止本合同。</w:t>
      </w:r>
    </w:p>
    <w:p w14:paraId="4ABEF666">
      <w:pPr>
        <w:spacing w:afterLines="0" w:line="500" w:lineRule="exact"/>
        <w:ind w:firstLine="560" w:firstLineChars="200"/>
        <w:rPr>
          <w:rFonts w:hint="eastAsia" w:ascii="仿宋" w:hAnsi="仿宋" w:eastAsia="仿宋" w:cs="仿宋"/>
        </w:rPr>
      </w:pPr>
      <w:r>
        <w:rPr>
          <w:rFonts w:hint="eastAsia" w:ascii="仿宋" w:hAnsi="仿宋" w:eastAsia="仿宋" w:cs="仿宋"/>
          <w:sz w:val="28"/>
          <w:lang w:val="en-US" w:eastAsia="zh-CN"/>
        </w:rPr>
        <w:t>（七）无论本合同其他条款是否有相反约定，乙方和/或乙方下属机构对因本合同项下行为而导致的甲方可得利益损失、商业信誉损失以及数据丢失或损坏等其他损失不承担责任。</w:t>
      </w:r>
    </w:p>
    <w:p w14:paraId="3FEAA925">
      <w:pPr>
        <w:pStyle w:val="4"/>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 w:hAnsi="仿宋" w:eastAsia="仿宋" w:cs="仿宋"/>
          <w:color w:val="auto"/>
          <w:sz w:val="28"/>
          <w:szCs w:val="28"/>
          <w:highlight w:val="none"/>
        </w:rPr>
      </w:pPr>
      <w:bookmarkStart w:id="43" w:name="_Toc23197"/>
      <w:r>
        <w:rPr>
          <w:rFonts w:hint="eastAsia" w:ascii="仿宋" w:hAnsi="仿宋" w:eastAsia="仿宋" w:cs="仿宋"/>
          <w:color w:val="auto"/>
          <w:sz w:val="28"/>
          <w:szCs w:val="28"/>
          <w:highlight w:val="none"/>
          <w:lang w:val="en-US" w:eastAsia="zh-CN"/>
        </w:rPr>
        <w:t>七</w:t>
      </w:r>
      <w:r>
        <w:rPr>
          <w:rFonts w:hint="eastAsia" w:ascii="仿宋" w:hAnsi="仿宋" w:eastAsia="仿宋" w:cs="仿宋"/>
          <w:color w:val="auto"/>
          <w:sz w:val="28"/>
          <w:szCs w:val="28"/>
          <w:highlight w:val="none"/>
        </w:rPr>
        <w:t>、争议解决</w:t>
      </w:r>
      <w:bookmarkEnd w:id="39"/>
      <w:bookmarkEnd w:id="40"/>
      <w:bookmarkEnd w:id="41"/>
      <w:bookmarkEnd w:id="42"/>
      <w:bookmarkEnd w:id="43"/>
    </w:p>
    <w:p w14:paraId="333012E7">
      <w:pPr>
        <w:keepNext w:val="0"/>
        <w:keepLines w:val="0"/>
        <w:pageBreakBefore w:val="0"/>
        <w:widowControl w:val="0"/>
        <w:kinsoku/>
        <w:wordWrap/>
        <w:overflowPunct/>
        <w:topLinePunct w:val="0"/>
        <w:autoSpaceDE/>
        <w:autoSpaceDN/>
        <w:bidi w:val="0"/>
        <w:adjustRightInd/>
        <w:snapToGrid/>
        <w:spacing w:line="500" w:lineRule="exact"/>
        <w:ind w:firstLine="567"/>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执行本合同中产生纠纷，由甲方与乙方双方协商解决；协商未果时可提请原告所在地人民法院诉讼解决。</w:t>
      </w:r>
    </w:p>
    <w:p w14:paraId="24FEE242">
      <w:pPr>
        <w:pStyle w:val="4"/>
        <w:keepNext w:val="0"/>
        <w:keepLines w:val="0"/>
        <w:pageBreakBefore w:val="0"/>
        <w:widowControl w:val="0"/>
        <w:kinsoku/>
        <w:wordWrap/>
        <w:overflowPunct/>
        <w:topLinePunct w:val="0"/>
        <w:autoSpaceDE/>
        <w:autoSpaceDN/>
        <w:bidi w:val="0"/>
        <w:adjustRightInd/>
        <w:snapToGrid/>
        <w:spacing w:line="500" w:lineRule="exact"/>
        <w:ind w:firstLine="567"/>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八、</w:t>
      </w:r>
      <w:r>
        <w:rPr>
          <w:rFonts w:hint="eastAsia" w:ascii="仿宋" w:hAnsi="仿宋" w:eastAsia="仿宋" w:cs="仿宋"/>
          <w:color w:val="auto"/>
          <w:sz w:val="28"/>
          <w:szCs w:val="28"/>
          <w:highlight w:val="none"/>
          <w:lang w:eastAsia="zh-CN"/>
        </w:rPr>
        <w:t>甲方</w:t>
      </w:r>
      <w:r>
        <w:rPr>
          <w:rFonts w:hint="eastAsia" w:ascii="仿宋" w:hAnsi="仿宋" w:eastAsia="仿宋" w:cs="仿宋"/>
          <w:color w:val="auto"/>
          <w:sz w:val="28"/>
          <w:szCs w:val="28"/>
          <w:highlight w:val="none"/>
        </w:rPr>
        <w:t>和</w:t>
      </w:r>
      <w:r>
        <w:rPr>
          <w:rFonts w:hint="eastAsia" w:ascii="仿宋" w:hAnsi="仿宋" w:eastAsia="仿宋" w:cs="仿宋"/>
          <w:color w:val="auto"/>
          <w:sz w:val="28"/>
          <w:szCs w:val="28"/>
          <w:highlight w:val="none"/>
          <w:lang w:eastAsia="zh-CN"/>
        </w:rPr>
        <w:t>乙方</w:t>
      </w:r>
      <w:r>
        <w:rPr>
          <w:rFonts w:hint="eastAsia" w:ascii="仿宋" w:hAnsi="仿宋" w:eastAsia="仿宋" w:cs="仿宋"/>
          <w:color w:val="auto"/>
          <w:sz w:val="28"/>
          <w:szCs w:val="28"/>
          <w:highlight w:val="none"/>
        </w:rPr>
        <w:t>的权利义务</w:t>
      </w:r>
    </w:p>
    <w:p w14:paraId="2EBF38A7">
      <w:pPr>
        <w:pStyle w:val="2"/>
        <w:spacing w:afterLines="0" w:line="500" w:lineRule="exact"/>
        <w:ind w:firstLine="562" w:firstLineChars="200"/>
        <w:rPr>
          <w:rFonts w:hint="eastAsia" w:ascii="仿宋" w:hAnsi="仿宋" w:eastAsia="仿宋" w:cs="仿宋"/>
          <w:b/>
          <w:bCs/>
        </w:rPr>
      </w:pPr>
      <w:bookmarkStart w:id="44" w:name="_Toc26919"/>
      <w:bookmarkStart w:id="45" w:name="_Toc27590"/>
      <w:bookmarkStart w:id="46" w:name="_Toc11262"/>
      <w:bookmarkStart w:id="47" w:name="_Toc32352"/>
      <w:bookmarkStart w:id="48" w:name="_Toc13224"/>
      <w:bookmarkStart w:id="49" w:name="_Toc14133"/>
      <w:bookmarkStart w:id="50" w:name="_Toc5100"/>
      <w:r>
        <w:rPr>
          <w:rFonts w:hint="eastAsia" w:ascii="仿宋" w:hAnsi="仿宋" w:eastAsia="仿宋" w:cs="仿宋"/>
          <w:b/>
          <w:bCs/>
        </w:rPr>
        <w:t>（一）</w:t>
      </w:r>
      <w:r>
        <w:rPr>
          <w:rFonts w:hint="eastAsia" w:ascii="仿宋" w:hAnsi="仿宋" w:eastAsia="仿宋" w:cs="仿宋"/>
          <w:b/>
          <w:bCs/>
          <w:lang w:val="en-US" w:eastAsia="zh-CN"/>
        </w:rPr>
        <w:t>甲方</w:t>
      </w:r>
      <w:r>
        <w:rPr>
          <w:rFonts w:hint="eastAsia" w:ascii="仿宋" w:hAnsi="仿宋" w:eastAsia="仿宋" w:cs="仿宋"/>
          <w:b/>
          <w:bCs/>
        </w:rPr>
        <w:t>的权利、义务</w:t>
      </w:r>
    </w:p>
    <w:p w14:paraId="5EF59D88">
      <w:pPr>
        <w:spacing w:afterLines="0" w:line="500" w:lineRule="exact"/>
        <w:ind w:firstLine="560" w:firstLineChars="200"/>
        <w:rPr>
          <w:rFonts w:hint="eastAsia" w:ascii="仿宋" w:hAnsi="仿宋" w:eastAsia="仿宋" w:cs="仿宋"/>
          <w:color w:val="000000"/>
        </w:rPr>
      </w:pPr>
      <w:r>
        <w:rPr>
          <w:rFonts w:hint="eastAsia" w:ascii="仿宋" w:hAnsi="仿宋" w:eastAsia="仿宋" w:cs="仿宋"/>
          <w:color w:val="000000"/>
          <w:lang w:val="en-US" w:eastAsia="zh-CN"/>
        </w:rPr>
        <w:t>1、</w:t>
      </w:r>
      <w:r>
        <w:rPr>
          <w:rFonts w:hint="eastAsia" w:ascii="仿宋" w:hAnsi="仿宋" w:eastAsia="仿宋" w:cs="仿宋"/>
          <w:color w:val="000000"/>
        </w:rPr>
        <w:t>作为乙方的集团客户，享受乙方为集团客户提供的一站式服务。</w:t>
      </w:r>
    </w:p>
    <w:p w14:paraId="3F403355">
      <w:pPr>
        <w:spacing w:afterLines="0" w:line="500" w:lineRule="exact"/>
        <w:ind w:firstLine="560" w:firstLineChars="200"/>
        <w:rPr>
          <w:rFonts w:hint="eastAsia" w:ascii="仿宋" w:hAnsi="仿宋" w:eastAsia="仿宋" w:cs="仿宋"/>
          <w:color w:val="000000"/>
        </w:rPr>
      </w:pPr>
      <w:r>
        <w:rPr>
          <w:rFonts w:hint="eastAsia" w:ascii="仿宋" w:hAnsi="仿宋" w:eastAsia="仿宋" w:cs="仿宋"/>
          <w:color w:val="000000"/>
          <w:lang w:val="en-US" w:eastAsia="zh-CN"/>
        </w:rPr>
        <w:t>2、</w:t>
      </w:r>
      <w:r>
        <w:rPr>
          <w:rFonts w:hint="eastAsia" w:ascii="仿宋" w:hAnsi="仿宋" w:eastAsia="仿宋" w:cs="仿宋"/>
          <w:color w:val="000000"/>
        </w:rPr>
        <w:t>在开通和使用电路服务业务过程中出现的技术性问题，均可就近向乙方或乙方当地下属机构及项目负责人员进行申告。</w:t>
      </w:r>
    </w:p>
    <w:p w14:paraId="47F5DD15">
      <w:pPr>
        <w:spacing w:afterLines="0" w:line="500" w:lineRule="exact"/>
        <w:ind w:firstLine="560" w:firstLineChars="200"/>
        <w:rPr>
          <w:rFonts w:hint="eastAsia" w:ascii="仿宋" w:hAnsi="仿宋" w:eastAsia="仿宋" w:cs="仿宋"/>
          <w:color w:val="000000"/>
        </w:rPr>
      </w:pPr>
      <w:r>
        <w:rPr>
          <w:rFonts w:hint="eastAsia" w:ascii="仿宋" w:hAnsi="仿宋" w:eastAsia="仿宋" w:cs="仿宋"/>
          <w:color w:val="000000"/>
          <w:lang w:val="en-US" w:eastAsia="zh-CN"/>
        </w:rPr>
        <w:t>3、</w:t>
      </w:r>
      <w:r>
        <w:rPr>
          <w:rFonts w:hint="eastAsia" w:ascii="仿宋" w:hAnsi="仿宋" w:eastAsia="仿宋" w:cs="仿宋"/>
          <w:color w:val="000000"/>
        </w:rPr>
        <w:t>应按照国家法律法规的规定及本合同的约定合理使用电路服务，不得用于从事损害乙方及他人合法权益的活动。未经乙方事先书面同意，不得将本合同项下的电路服务以任何方式给其他第三方（不包括本合同项下甲方下属机构）使用，也不得用于本合同约定用途以外的其他用途。</w:t>
      </w:r>
    </w:p>
    <w:p w14:paraId="53390F9E">
      <w:pPr>
        <w:spacing w:afterLines="0" w:line="500" w:lineRule="exact"/>
        <w:ind w:firstLine="560" w:firstLineChars="200"/>
        <w:rPr>
          <w:rFonts w:hint="eastAsia" w:ascii="仿宋" w:hAnsi="仿宋" w:eastAsia="仿宋" w:cs="仿宋"/>
          <w:color w:val="000000"/>
        </w:rPr>
      </w:pPr>
      <w:r>
        <w:rPr>
          <w:rFonts w:hint="eastAsia" w:ascii="仿宋" w:hAnsi="仿宋" w:eastAsia="仿宋" w:cs="仿宋"/>
          <w:color w:val="000000"/>
          <w:lang w:val="en-US" w:eastAsia="zh-CN"/>
        </w:rPr>
        <w:t>4、</w:t>
      </w:r>
      <w:r>
        <w:rPr>
          <w:rFonts w:hint="eastAsia" w:ascii="仿宋" w:hAnsi="仿宋" w:eastAsia="仿宋" w:cs="仿宋"/>
          <w:color w:val="000000"/>
        </w:rPr>
        <w:t>应保证连接到电路上的有关通信设备全部符合国家主管部门规定的质量标准和技术要求，并取得进网许可证。</w:t>
      </w:r>
    </w:p>
    <w:p w14:paraId="364C12B6">
      <w:pPr>
        <w:spacing w:afterLines="0" w:line="500" w:lineRule="exact"/>
        <w:ind w:firstLine="560" w:firstLineChars="200"/>
        <w:rPr>
          <w:rFonts w:hint="eastAsia" w:ascii="仿宋" w:hAnsi="仿宋" w:eastAsia="仿宋" w:cs="仿宋"/>
          <w:color w:val="000000"/>
        </w:rPr>
      </w:pPr>
      <w:r>
        <w:rPr>
          <w:rFonts w:hint="eastAsia" w:ascii="仿宋" w:hAnsi="仿宋" w:eastAsia="仿宋" w:cs="仿宋"/>
          <w:color w:val="000000"/>
          <w:lang w:val="en-US" w:eastAsia="zh-CN"/>
        </w:rPr>
        <w:t>5、</w:t>
      </w:r>
      <w:r>
        <w:rPr>
          <w:rFonts w:hint="eastAsia" w:ascii="仿宋" w:hAnsi="仿宋" w:eastAsia="仿宋" w:cs="仿宋"/>
          <w:color w:val="000000"/>
        </w:rPr>
        <w:t>应按时足额缴纳电路服务的一次性费用和电路月服务费。</w:t>
      </w:r>
    </w:p>
    <w:p w14:paraId="51487885">
      <w:pPr>
        <w:spacing w:afterLines="0" w:line="500" w:lineRule="exact"/>
        <w:ind w:firstLine="560" w:firstLineChars="200"/>
        <w:rPr>
          <w:rFonts w:hint="eastAsia" w:ascii="仿宋" w:hAnsi="仿宋" w:eastAsia="仿宋" w:cs="仿宋"/>
          <w:color w:val="000000"/>
        </w:rPr>
      </w:pPr>
      <w:r>
        <w:rPr>
          <w:rFonts w:hint="eastAsia" w:ascii="仿宋" w:hAnsi="仿宋" w:eastAsia="仿宋" w:cs="仿宋"/>
          <w:color w:val="000000"/>
          <w:lang w:val="en-US" w:eastAsia="zh-CN"/>
        </w:rPr>
        <w:t>6、</w:t>
      </w:r>
      <w:r>
        <w:rPr>
          <w:rFonts w:hint="eastAsia" w:ascii="仿宋" w:hAnsi="仿宋" w:eastAsia="仿宋" w:cs="仿宋"/>
          <w:color w:val="000000"/>
        </w:rPr>
        <w:t>应以书面形式（“电路服务需求单”）向乙方提供本合同项下电路服务所涉电路的类型、通达方向、速率、数量、技术要求、准确的终端起止接入地点、用途、要求开通时间、服务期限、联系人、联系电话等信息。</w:t>
      </w:r>
    </w:p>
    <w:p w14:paraId="0ED28F16">
      <w:pPr>
        <w:spacing w:afterLines="0" w:line="500" w:lineRule="exact"/>
        <w:ind w:firstLine="560" w:firstLineChars="200"/>
        <w:rPr>
          <w:rFonts w:hint="eastAsia" w:ascii="仿宋" w:hAnsi="仿宋" w:eastAsia="仿宋" w:cs="仿宋"/>
          <w:color w:val="000000"/>
        </w:rPr>
      </w:pPr>
      <w:r>
        <w:rPr>
          <w:rFonts w:hint="eastAsia" w:ascii="仿宋" w:hAnsi="仿宋" w:eastAsia="仿宋" w:cs="仿宋"/>
          <w:color w:val="000000"/>
          <w:lang w:val="en-US" w:eastAsia="zh-CN"/>
        </w:rPr>
        <w:t>7、</w:t>
      </w:r>
      <w:r>
        <w:rPr>
          <w:rFonts w:hint="eastAsia" w:ascii="仿宋" w:hAnsi="仿宋" w:eastAsia="仿宋" w:cs="仿宋"/>
          <w:color w:val="000000"/>
        </w:rPr>
        <w:t>应派专人负责做好入网的各项准备和配合工作，包括但不限于：</w:t>
      </w:r>
    </w:p>
    <w:p w14:paraId="14535D21">
      <w:pPr>
        <w:spacing w:afterLines="0" w:line="500" w:lineRule="exact"/>
        <w:ind w:firstLine="560" w:firstLineChars="200"/>
        <w:rPr>
          <w:rFonts w:hint="eastAsia" w:ascii="仿宋" w:hAnsi="仿宋" w:eastAsia="仿宋" w:cs="仿宋"/>
          <w:color w:val="000000"/>
        </w:rPr>
      </w:pPr>
      <w:r>
        <w:rPr>
          <w:rFonts w:hint="eastAsia" w:ascii="仿宋" w:hAnsi="仿宋" w:eastAsia="仿宋" w:cs="仿宋"/>
          <w:color w:val="000000"/>
        </w:rPr>
        <w:t>（1）入网前期的组织、协调工作。</w:t>
      </w:r>
    </w:p>
    <w:p w14:paraId="2B805BA0">
      <w:pPr>
        <w:spacing w:afterLines="0" w:line="500" w:lineRule="exact"/>
        <w:ind w:firstLine="560" w:firstLineChars="200"/>
        <w:rPr>
          <w:rFonts w:hint="eastAsia" w:ascii="仿宋" w:hAnsi="仿宋" w:eastAsia="仿宋" w:cs="仿宋"/>
          <w:color w:val="000000"/>
        </w:rPr>
      </w:pPr>
      <w:r>
        <w:rPr>
          <w:rFonts w:hint="eastAsia" w:ascii="仿宋" w:hAnsi="仿宋" w:eastAsia="仿宋" w:cs="仿宋"/>
          <w:color w:val="000000"/>
        </w:rPr>
        <w:t>（2）无偿提供机房，并做好接入设备及机房内安装场地的准备。</w:t>
      </w:r>
    </w:p>
    <w:p w14:paraId="7573AA83">
      <w:pPr>
        <w:spacing w:afterLines="0" w:line="500" w:lineRule="exact"/>
        <w:ind w:firstLine="560" w:firstLineChars="200"/>
        <w:rPr>
          <w:rFonts w:hint="eastAsia" w:ascii="仿宋" w:hAnsi="仿宋" w:eastAsia="仿宋" w:cs="仿宋"/>
          <w:color w:val="000000"/>
        </w:rPr>
      </w:pPr>
      <w:r>
        <w:rPr>
          <w:rFonts w:hint="eastAsia" w:ascii="仿宋" w:hAnsi="仿宋" w:eastAsia="仿宋" w:cs="仿宋"/>
          <w:color w:val="000000"/>
        </w:rPr>
        <w:t>（3）负责协调所在楼宇的物业使其允许乙方进楼实施或提供线路接入，并承担协调物业涉及的相关费用。</w:t>
      </w:r>
    </w:p>
    <w:p w14:paraId="1ED5B9B1">
      <w:pPr>
        <w:spacing w:afterLines="0" w:line="500" w:lineRule="exact"/>
        <w:ind w:firstLine="560" w:firstLineChars="200"/>
        <w:rPr>
          <w:rFonts w:hint="eastAsia" w:ascii="仿宋" w:hAnsi="仿宋" w:eastAsia="仿宋" w:cs="仿宋"/>
          <w:color w:val="000000"/>
        </w:rPr>
      </w:pPr>
      <w:r>
        <w:rPr>
          <w:rFonts w:hint="eastAsia" w:ascii="仿宋" w:hAnsi="仿宋" w:eastAsia="仿宋" w:cs="仿宋"/>
          <w:color w:val="000000"/>
        </w:rPr>
        <w:t>（4）保证相关机构、人员、物业等入网各方配合乙方的进网调测工作。</w:t>
      </w:r>
    </w:p>
    <w:p w14:paraId="044A4361">
      <w:pPr>
        <w:spacing w:afterLines="0" w:line="500" w:lineRule="exact"/>
        <w:ind w:firstLine="560" w:firstLineChars="200"/>
        <w:rPr>
          <w:rFonts w:hint="eastAsia" w:ascii="仿宋" w:hAnsi="仿宋" w:eastAsia="仿宋" w:cs="仿宋"/>
          <w:color w:val="000000"/>
        </w:rPr>
      </w:pPr>
      <w:r>
        <w:rPr>
          <w:rFonts w:hint="eastAsia" w:ascii="仿宋" w:hAnsi="仿宋" w:eastAsia="仿宋" w:cs="仿宋"/>
          <w:color w:val="000000"/>
        </w:rPr>
        <w:t>（5）调配和预留所在建筑物内配线室至机房的通信线路。</w:t>
      </w:r>
    </w:p>
    <w:p w14:paraId="460A7222">
      <w:pPr>
        <w:spacing w:afterLines="0" w:line="500" w:lineRule="exact"/>
        <w:ind w:firstLine="560" w:firstLineChars="200"/>
        <w:rPr>
          <w:rFonts w:hint="eastAsia" w:ascii="仿宋" w:hAnsi="仿宋" w:eastAsia="仿宋" w:cs="仿宋"/>
          <w:color w:val="000000"/>
        </w:rPr>
      </w:pPr>
      <w:r>
        <w:rPr>
          <w:rFonts w:hint="eastAsia" w:ascii="仿宋" w:hAnsi="仿宋" w:eastAsia="仿宋" w:cs="仿宋"/>
          <w:color w:val="000000"/>
        </w:rPr>
        <w:t>（6）提供有UPS保障的220V稳定电源，供乙方设备使用，并承担设备的用电费用。</w:t>
      </w:r>
    </w:p>
    <w:p w14:paraId="0C0C94F5">
      <w:pPr>
        <w:spacing w:afterLines="0" w:line="500" w:lineRule="exact"/>
        <w:ind w:firstLine="560" w:firstLineChars="200"/>
        <w:rPr>
          <w:rFonts w:hint="eastAsia" w:ascii="仿宋" w:hAnsi="仿宋" w:eastAsia="仿宋" w:cs="仿宋"/>
          <w:color w:val="000000"/>
        </w:rPr>
      </w:pPr>
      <w:r>
        <w:rPr>
          <w:rFonts w:hint="eastAsia" w:ascii="仿宋" w:hAnsi="仿宋" w:eastAsia="仿宋" w:cs="仿宋"/>
          <w:color w:val="000000"/>
          <w:lang w:val="en-US" w:eastAsia="zh-CN"/>
        </w:rPr>
        <w:t>8、</w:t>
      </w:r>
      <w:r>
        <w:rPr>
          <w:rFonts w:hint="eastAsia" w:ascii="仿宋" w:hAnsi="仿宋" w:eastAsia="仿宋" w:cs="仿宋"/>
          <w:color w:val="000000"/>
        </w:rPr>
        <w:t>应承担因甲方原因造成的电路服务迟延提供的责任。如出现该情况的，双方将视为电路服务按时提供。</w:t>
      </w:r>
    </w:p>
    <w:p w14:paraId="2907C459">
      <w:pPr>
        <w:spacing w:afterLines="0" w:line="500" w:lineRule="exact"/>
        <w:ind w:firstLine="560" w:firstLineChars="200"/>
        <w:rPr>
          <w:rFonts w:hint="eastAsia" w:ascii="仿宋" w:hAnsi="仿宋" w:eastAsia="仿宋" w:cs="仿宋"/>
          <w:color w:val="000000"/>
        </w:rPr>
      </w:pPr>
      <w:r>
        <w:rPr>
          <w:rFonts w:hint="eastAsia" w:ascii="仿宋" w:hAnsi="仿宋" w:eastAsia="仿宋" w:cs="仿宋"/>
          <w:color w:val="000000"/>
          <w:lang w:val="en-US" w:eastAsia="zh-CN"/>
        </w:rPr>
        <w:t>9、</w:t>
      </w:r>
      <w:r>
        <w:rPr>
          <w:rFonts w:hint="eastAsia" w:ascii="仿宋" w:hAnsi="仿宋" w:eastAsia="仿宋" w:cs="仿宋"/>
          <w:color w:val="000000"/>
        </w:rPr>
        <w:t>未经乙方同意，不得在电路及设备上加装其他各种设备及装置。</w:t>
      </w:r>
    </w:p>
    <w:p w14:paraId="34DA3E28">
      <w:pPr>
        <w:spacing w:afterLines="0" w:line="500" w:lineRule="exact"/>
        <w:ind w:firstLine="560" w:firstLineChars="200"/>
        <w:rPr>
          <w:rFonts w:hint="eastAsia" w:ascii="仿宋" w:hAnsi="仿宋" w:eastAsia="仿宋" w:cs="仿宋"/>
          <w:color w:val="000000"/>
        </w:rPr>
      </w:pPr>
      <w:r>
        <w:rPr>
          <w:rFonts w:hint="eastAsia" w:ascii="仿宋" w:hAnsi="仿宋" w:eastAsia="仿宋" w:cs="仿宋"/>
          <w:color w:val="000000"/>
          <w:lang w:val="en-US" w:eastAsia="zh-CN"/>
        </w:rPr>
        <w:t>10、</w:t>
      </w:r>
      <w:r>
        <w:rPr>
          <w:rFonts w:hint="eastAsia" w:ascii="仿宋" w:hAnsi="仿宋" w:eastAsia="仿宋" w:cs="仿宋"/>
          <w:color w:val="000000"/>
        </w:rPr>
        <w:t>应积极配合乙方对电路的日常维护、检测等工作，并负责其机房线路设备侧电路的维护管理。</w:t>
      </w:r>
    </w:p>
    <w:p w14:paraId="06054D45">
      <w:pPr>
        <w:spacing w:afterLines="0" w:line="500" w:lineRule="exact"/>
        <w:ind w:firstLine="560" w:firstLineChars="200"/>
        <w:rPr>
          <w:rFonts w:hint="eastAsia" w:ascii="仿宋" w:hAnsi="仿宋" w:eastAsia="仿宋" w:cs="仿宋"/>
          <w:color w:val="000000"/>
        </w:rPr>
      </w:pPr>
      <w:r>
        <w:rPr>
          <w:rFonts w:hint="eastAsia" w:ascii="仿宋" w:hAnsi="仿宋" w:eastAsia="仿宋" w:cs="仿宋"/>
          <w:color w:val="000000"/>
          <w:lang w:val="en-US" w:eastAsia="zh-CN"/>
        </w:rPr>
        <w:t>11、</w:t>
      </w:r>
      <w:r>
        <w:rPr>
          <w:rFonts w:hint="eastAsia" w:ascii="仿宋" w:hAnsi="仿宋" w:eastAsia="仿宋" w:cs="仿宋"/>
          <w:color w:val="000000"/>
        </w:rPr>
        <w:t>甲方按照本合同约定享受电路服务，并对所涉电路负有保管责任；若由于甲方原因造成电路损坏的，须按价赔偿。本合同终止或双方协商一致变更具体业务类型的，乙方有权要求甲方归还相应设备、终端，甲方无法归还或设备、终端损坏的，须按价赔偿。</w:t>
      </w:r>
    </w:p>
    <w:p w14:paraId="20FA32CF">
      <w:pPr>
        <w:spacing w:afterLines="0" w:line="500" w:lineRule="exact"/>
        <w:ind w:firstLine="562" w:firstLineChars="200"/>
        <w:rPr>
          <w:rFonts w:hint="eastAsia" w:ascii="仿宋" w:hAnsi="仿宋" w:eastAsia="仿宋" w:cs="仿宋"/>
          <w:b/>
          <w:bCs/>
          <w:color w:val="000000"/>
        </w:rPr>
      </w:pPr>
      <w:r>
        <w:rPr>
          <w:rFonts w:hint="eastAsia" w:ascii="仿宋" w:hAnsi="仿宋" w:eastAsia="仿宋" w:cs="仿宋"/>
          <w:b/>
          <w:bCs/>
          <w:color w:val="000000"/>
        </w:rPr>
        <w:t>（二）乙方的权利、义务</w:t>
      </w:r>
    </w:p>
    <w:p w14:paraId="4685CD38">
      <w:pPr>
        <w:spacing w:afterLines="0" w:line="500" w:lineRule="exact"/>
        <w:ind w:firstLine="560" w:firstLineChars="200"/>
        <w:rPr>
          <w:rFonts w:hint="eastAsia" w:ascii="仿宋" w:hAnsi="仿宋" w:eastAsia="仿宋" w:cs="仿宋"/>
          <w:color w:val="000000"/>
        </w:rPr>
      </w:pPr>
      <w:r>
        <w:rPr>
          <w:rFonts w:hint="eastAsia" w:ascii="仿宋" w:hAnsi="仿宋" w:eastAsia="仿宋" w:cs="仿宋"/>
          <w:color w:val="000000"/>
          <w:lang w:val="en-US" w:eastAsia="zh-CN"/>
        </w:rPr>
        <w:t>1、</w:t>
      </w:r>
      <w:r>
        <w:rPr>
          <w:rFonts w:hint="eastAsia" w:ascii="仿宋" w:hAnsi="仿宋" w:eastAsia="仿宋" w:cs="仿宋"/>
          <w:color w:val="000000"/>
        </w:rPr>
        <w:t>视甲方为乙方的集团客户，提供端到端的综合性信息服务，并为甲方提供电路服务业务的咨询、组网建议等服务。</w:t>
      </w:r>
    </w:p>
    <w:p w14:paraId="57FC8709">
      <w:pPr>
        <w:spacing w:afterLines="0" w:line="500" w:lineRule="exact"/>
        <w:ind w:firstLine="560" w:firstLineChars="200"/>
        <w:rPr>
          <w:rFonts w:hint="eastAsia" w:ascii="仿宋" w:hAnsi="仿宋" w:eastAsia="仿宋" w:cs="仿宋"/>
          <w:color w:val="000000"/>
        </w:rPr>
      </w:pPr>
      <w:r>
        <w:rPr>
          <w:rFonts w:hint="eastAsia" w:ascii="仿宋" w:hAnsi="仿宋" w:eastAsia="仿宋" w:cs="仿宋"/>
          <w:color w:val="000000"/>
          <w:lang w:val="en-US" w:eastAsia="zh-CN"/>
        </w:rPr>
        <w:t>2、</w:t>
      </w:r>
      <w:r>
        <w:rPr>
          <w:rFonts w:hint="eastAsia" w:ascii="仿宋" w:hAnsi="仿宋" w:eastAsia="仿宋" w:cs="仿宋"/>
          <w:color w:val="000000"/>
        </w:rPr>
        <w:t>负责依据甲方开通通知进行电路服务的开通。</w:t>
      </w:r>
    </w:p>
    <w:p w14:paraId="3D387D06">
      <w:pPr>
        <w:spacing w:afterLines="0" w:line="500" w:lineRule="exact"/>
        <w:ind w:firstLine="560" w:firstLineChars="200"/>
        <w:rPr>
          <w:rFonts w:hint="eastAsia" w:ascii="仿宋" w:hAnsi="仿宋" w:eastAsia="仿宋" w:cs="仿宋"/>
          <w:color w:val="000000"/>
        </w:rPr>
      </w:pPr>
      <w:r>
        <w:rPr>
          <w:rFonts w:hint="eastAsia" w:ascii="仿宋" w:hAnsi="仿宋" w:eastAsia="仿宋" w:cs="仿宋"/>
          <w:color w:val="000000"/>
          <w:lang w:val="en-US" w:eastAsia="zh-CN"/>
        </w:rPr>
        <w:t>3、</w:t>
      </w:r>
      <w:r>
        <w:rPr>
          <w:rFonts w:hint="eastAsia" w:ascii="仿宋" w:hAnsi="仿宋" w:eastAsia="仿宋" w:cs="仿宋"/>
          <w:color w:val="000000"/>
        </w:rPr>
        <w:t>在资源具备，且甲方办理完毕相关业务受理手续并支付一次性费用后</w:t>
      </w:r>
      <w:r>
        <w:rPr>
          <w:rFonts w:hint="eastAsia" w:ascii="仿宋" w:hAnsi="仿宋" w:eastAsia="仿宋" w:cs="仿宋"/>
          <w:color w:val="000000"/>
          <w:lang w:val="en-US" w:eastAsia="zh-CN"/>
        </w:rPr>
        <w:t>30</w:t>
      </w:r>
      <w:r>
        <w:rPr>
          <w:rFonts w:hint="eastAsia" w:ascii="仿宋" w:hAnsi="仿宋" w:eastAsia="仿宋" w:cs="仿宋"/>
          <w:color w:val="000000"/>
        </w:rPr>
        <w:t>个工作日内，向甲方提供电路服务业务。</w:t>
      </w:r>
    </w:p>
    <w:p w14:paraId="01EAEEE4">
      <w:pPr>
        <w:spacing w:afterLines="0" w:line="500" w:lineRule="exact"/>
        <w:ind w:firstLine="560" w:firstLineChars="200"/>
        <w:rPr>
          <w:rFonts w:hint="eastAsia" w:ascii="仿宋" w:hAnsi="仿宋" w:eastAsia="仿宋" w:cs="仿宋"/>
          <w:color w:val="000000"/>
        </w:rPr>
      </w:pPr>
      <w:r>
        <w:rPr>
          <w:rFonts w:hint="eastAsia" w:ascii="仿宋" w:hAnsi="仿宋" w:eastAsia="仿宋" w:cs="仿宋"/>
          <w:color w:val="000000"/>
          <w:lang w:val="en-US" w:eastAsia="zh-CN"/>
        </w:rPr>
        <w:t>4、</w:t>
      </w:r>
      <w:r>
        <w:rPr>
          <w:rFonts w:hint="eastAsia" w:ascii="仿宋" w:hAnsi="仿宋" w:eastAsia="仿宋" w:cs="仿宋"/>
          <w:color w:val="000000"/>
        </w:rPr>
        <w:t>由于乙方端口、线路资源暂未具备等原因而未及时开通电路服务的，乙方有责任协调相关部门尽快开通电路服务。</w:t>
      </w:r>
    </w:p>
    <w:p w14:paraId="2980FF4B">
      <w:pPr>
        <w:spacing w:afterLines="0" w:line="500" w:lineRule="exact"/>
        <w:ind w:firstLine="560" w:firstLineChars="200"/>
        <w:rPr>
          <w:rFonts w:hint="eastAsia" w:ascii="仿宋" w:hAnsi="仿宋" w:eastAsia="仿宋" w:cs="仿宋"/>
          <w:color w:val="000000"/>
        </w:rPr>
      </w:pPr>
      <w:r>
        <w:rPr>
          <w:rFonts w:hint="eastAsia" w:ascii="仿宋" w:hAnsi="仿宋" w:eastAsia="仿宋" w:cs="仿宋"/>
          <w:color w:val="000000"/>
          <w:lang w:val="en-US" w:eastAsia="zh-CN"/>
        </w:rPr>
        <w:t>5、</w:t>
      </w:r>
      <w:r>
        <w:rPr>
          <w:rFonts w:hint="eastAsia" w:ascii="仿宋" w:hAnsi="仿宋" w:eastAsia="仿宋" w:cs="仿宋"/>
          <w:color w:val="000000"/>
        </w:rPr>
        <w:t>在甲方给予必要的协助和配合下，依据相关规程和规范以及本合同约定提供电路维护服务，并及时修复通信障碍，保证通信畅通。</w:t>
      </w:r>
    </w:p>
    <w:p w14:paraId="7A13FEBA">
      <w:pPr>
        <w:spacing w:afterLines="0" w:line="500" w:lineRule="exact"/>
        <w:ind w:firstLine="560" w:firstLineChars="200"/>
        <w:rPr>
          <w:rFonts w:hint="eastAsia" w:ascii="仿宋" w:hAnsi="仿宋" w:eastAsia="仿宋" w:cs="仿宋"/>
          <w:color w:val="000000"/>
        </w:rPr>
      </w:pPr>
      <w:r>
        <w:rPr>
          <w:rFonts w:hint="eastAsia" w:ascii="仿宋" w:hAnsi="仿宋" w:eastAsia="仿宋" w:cs="仿宋"/>
          <w:color w:val="000000"/>
          <w:lang w:val="en-US" w:eastAsia="zh-CN"/>
        </w:rPr>
        <w:t>6、</w:t>
      </w:r>
      <w:r>
        <w:rPr>
          <w:rFonts w:hint="eastAsia" w:ascii="仿宋" w:hAnsi="仿宋" w:eastAsia="仿宋" w:cs="仿宋"/>
          <w:color w:val="000000"/>
        </w:rPr>
        <w:t>乙方应按季度提供网络运行维保服务小结，并于四季度末提供全年网络运行维保报告。</w:t>
      </w:r>
    </w:p>
    <w:p w14:paraId="24605BEA">
      <w:pPr>
        <w:spacing w:afterLines="0" w:line="500" w:lineRule="exact"/>
        <w:ind w:firstLine="560" w:firstLineChars="200"/>
        <w:rPr>
          <w:rFonts w:hint="eastAsia" w:ascii="仿宋" w:hAnsi="仿宋" w:eastAsia="仿宋" w:cs="仿宋"/>
          <w:color w:val="000000"/>
        </w:rPr>
      </w:pPr>
      <w:r>
        <w:rPr>
          <w:rFonts w:hint="eastAsia" w:ascii="仿宋" w:hAnsi="仿宋" w:eastAsia="仿宋" w:cs="仿宋"/>
          <w:color w:val="000000"/>
          <w:lang w:val="en-US" w:eastAsia="zh-CN"/>
        </w:rPr>
        <w:t>7、</w:t>
      </w:r>
      <w:r>
        <w:rPr>
          <w:rFonts w:hint="eastAsia" w:ascii="仿宋" w:hAnsi="仿宋" w:eastAsia="仿宋" w:cs="仿宋"/>
          <w:color w:val="000000"/>
        </w:rPr>
        <w:t>乙方所提供电路维护服务的责任界面按照国家法律法规公布的维护规程明确。具体以甲方机房的设备为界,设备以外线路侧由乙方提供维护管理服务,另一侧（设备侧）由甲方负责维护管理。</w:t>
      </w:r>
    </w:p>
    <w:p w14:paraId="11D0EC5E">
      <w:pPr>
        <w:spacing w:afterLines="0" w:line="500" w:lineRule="exact"/>
        <w:ind w:firstLine="560" w:firstLineChars="200"/>
        <w:rPr>
          <w:rFonts w:hint="eastAsia" w:ascii="仿宋" w:hAnsi="仿宋" w:eastAsia="仿宋" w:cs="仿宋"/>
          <w:color w:val="000000"/>
        </w:rPr>
      </w:pPr>
      <w:r>
        <w:rPr>
          <w:rFonts w:hint="eastAsia" w:ascii="仿宋" w:hAnsi="仿宋" w:eastAsia="仿宋" w:cs="仿宋"/>
          <w:color w:val="000000"/>
          <w:lang w:val="en-US" w:eastAsia="zh-CN"/>
        </w:rPr>
        <w:t>8、</w:t>
      </w:r>
      <w:r>
        <w:rPr>
          <w:rFonts w:hint="eastAsia" w:ascii="仿宋" w:hAnsi="仿宋" w:eastAsia="仿宋" w:cs="仿宋"/>
          <w:color w:val="000000"/>
        </w:rPr>
        <w:t>因技术、设备或国家政策因素等原因有权对电信业务的服务功能、操作方法、计费方式、计费模式、业务号码等作出修改、调整。</w:t>
      </w:r>
    </w:p>
    <w:p w14:paraId="2D970048">
      <w:pPr>
        <w:spacing w:afterLines="0" w:line="500" w:lineRule="exact"/>
        <w:ind w:firstLine="560" w:firstLineChars="200"/>
        <w:rPr>
          <w:rFonts w:hint="eastAsia" w:ascii="仿宋" w:hAnsi="仿宋" w:eastAsia="仿宋" w:cs="仿宋"/>
          <w:color w:val="000000"/>
        </w:rPr>
      </w:pPr>
      <w:r>
        <w:rPr>
          <w:rFonts w:hint="eastAsia" w:ascii="仿宋" w:hAnsi="仿宋" w:eastAsia="仿宋" w:cs="仿宋"/>
          <w:color w:val="000000"/>
          <w:lang w:val="en-US" w:eastAsia="zh-CN"/>
        </w:rPr>
        <w:t>9、</w:t>
      </w:r>
      <w:r>
        <w:rPr>
          <w:rFonts w:hint="eastAsia" w:ascii="仿宋" w:hAnsi="仿宋" w:eastAsia="仿宋" w:cs="仿宋"/>
          <w:color w:val="000000"/>
        </w:rPr>
        <w:t>乙方对所投资的电路和设备拥有所有权。</w:t>
      </w:r>
    </w:p>
    <w:p w14:paraId="425AF505">
      <w:pPr>
        <w:spacing w:afterLines="0" w:line="500" w:lineRule="exact"/>
        <w:ind w:firstLine="560" w:firstLineChars="200"/>
        <w:rPr>
          <w:rFonts w:hint="eastAsia" w:ascii="仿宋" w:hAnsi="仿宋" w:eastAsia="仿宋" w:cs="仿宋"/>
          <w:color w:val="000000"/>
        </w:rPr>
      </w:pPr>
      <w:r>
        <w:rPr>
          <w:rFonts w:hint="eastAsia" w:ascii="仿宋" w:hAnsi="仿宋" w:eastAsia="仿宋" w:cs="仿宋"/>
          <w:color w:val="000000"/>
          <w:lang w:val="en-US" w:eastAsia="zh-CN"/>
        </w:rPr>
        <w:t>10、</w:t>
      </w:r>
      <w:r>
        <w:rPr>
          <w:rFonts w:hint="eastAsia" w:ascii="仿宋" w:hAnsi="仿宋" w:eastAsia="仿宋" w:cs="仿宋"/>
          <w:color w:val="000000"/>
        </w:rPr>
        <w:t>不得利用乙方提供的互联网接入业务经营甲方不具备资质的其他电信业务。不得将互联网专线以任何方式（包括但不限于私拉光纤进行转接、建立VPN隧道等手段）为任何第三方提供穿透流量接入。除骨干核心正常互联互通点之外，甲方的任何网络节点不得有其他运营商和互联单位等的穿透流量接入，包括但不限于乙方上级以及乙方系统监测到的违规IP地址接入。</w:t>
      </w:r>
    </w:p>
    <w:p w14:paraId="4906E9C7">
      <w:pPr>
        <w:pStyle w:val="4"/>
        <w:keepNext w:val="0"/>
        <w:widowControl w:val="0"/>
        <w:spacing w:line="480" w:lineRule="exact"/>
        <w:ind w:firstLine="567"/>
        <w:rPr>
          <w:rFonts w:hint="eastAsia" w:ascii="仿宋" w:hAnsi="仿宋" w:eastAsia="仿宋" w:cs="仿宋"/>
          <w:b w:val="0"/>
          <w:bCs w:val="0"/>
          <w:color w:val="000000"/>
          <w:sz w:val="28"/>
          <w:szCs w:val="32"/>
        </w:rPr>
      </w:pPr>
      <w:r>
        <w:rPr>
          <w:rFonts w:hint="eastAsia" w:ascii="仿宋" w:hAnsi="仿宋" w:eastAsia="仿宋" w:cs="仿宋"/>
          <w:b w:val="0"/>
          <w:bCs w:val="0"/>
          <w:color w:val="000000"/>
          <w:sz w:val="28"/>
          <w:szCs w:val="32"/>
          <w:lang w:val="en-US" w:eastAsia="zh-CN"/>
        </w:rPr>
        <w:t>11、</w:t>
      </w:r>
      <w:r>
        <w:rPr>
          <w:rFonts w:hint="eastAsia" w:ascii="仿宋" w:hAnsi="仿宋" w:eastAsia="仿宋" w:cs="仿宋"/>
          <w:b w:val="0"/>
          <w:bCs w:val="0"/>
          <w:color w:val="000000"/>
          <w:sz w:val="28"/>
          <w:szCs w:val="32"/>
        </w:rPr>
        <w:t>甲方从事非经营性互联网信息服务的，须严格遵循《非经营性互联网备案管理办法》之规定，不能接入未备案网站；甲方应对备案网站用户信息进行动态维护和更新，并定期向乙方报送网站信息和变更信息。甲方承诺并确认：甲方所提交的所有备案信息真实有效，当提供的备案信息发生变化时应及时向乙方提交更新信息，如因未及时更新而导致备案信息不准确的，乙方有权依法采取断开网络接入等关停处置措施。</w:t>
      </w:r>
      <w:bookmarkEnd w:id="44"/>
      <w:bookmarkEnd w:id="45"/>
      <w:bookmarkEnd w:id="46"/>
      <w:bookmarkEnd w:id="47"/>
      <w:bookmarkEnd w:id="48"/>
      <w:bookmarkEnd w:id="49"/>
      <w:bookmarkEnd w:id="50"/>
      <w:bookmarkStart w:id="51" w:name="_Toc2376"/>
      <w:bookmarkStart w:id="52" w:name="_Toc20997"/>
      <w:bookmarkStart w:id="53" w:name="_Toc13398"/>
      <w:bookmarkStart w:id="54" w:name="_Toc780"/>
      <w:bookmarkStart w:id="55" w:name="_Toc526"/>
      <w:bookmarkStart w:id="56" w:name="_Toc18805"/>
      <w:bookmarkStart w:id="57" w:name="_Toc2214"/>
    </w:p>
    <w:p w14:paraId="5FCBC11D">
      <w:pPr>
        <w:pStyle w:val="4"/>
        <w:keepNext w:val="0"/>
        <w:widowControl w:val="0"/>
        <w:spacing w:line="480" w:lineRule="exact"/>
        <w:ind w:firstLine="567"/>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九</w:t>
      </w:r>
      <w:r>
        <w:rPr>
          <w:rFonts w:hint="eastAsia" w:ascii="仿宋" w:hAnsi="仿宋" w:eastAsia="仿宋" w:cs="仿宋"/>
          <w:color w:val="auto"/>
          <w:sz w:val="28"/>
          <w:szCs w:val="28"/>
          <w:highlight w:val="none"/>
        </w:rPr>
        <w:t>、合同生效及其他</w:t>
      </w:r>
      <w:bookmarkEnd w:id="51"/>
      <w:bookmarkEnd w:id="52"/>
      <w:bookmarkEnd w:id="53"/>
      <w:bookmarkEnd w:id="54"/>
      <w:bookmarkEnd w:id="55"/>
      <w:bookmarkEnd w:id="56"/>
      <w:bookmarkEnd w:id="57"/>
    </w:p>
    <w:p w14:paraId="2A3D8A09">
      <w:pPr>
        <w:spacing w:line="520" w:lineRule="exact"/>
        <w:ind w:firstLine="560" w:firstLineChars="200"/>
        <w:rPr>
          <w:rFonts w:hint="eastAsia" w:ascii="仿宋" w:hAnsi="仿宋" w:eastAsia="仿宋" w:cs="仿宋"/>
          <w:color w:val="auto"/>
          <w:highlight w:val="none"/>
        </w:rPr>
      </w:pPr>
      <w:r>
        <w:rPr>
          <w:rFonts w:hint="eastAsia" w:ascii="仿宋" w:hAnsi="仿宋" w:eastAsia="仿宋" w:cs="仿宋"/>
          <w:color w:val="auto"/>
          <w:highlight w:val="none"/>
          <w:lang w:eastAsia="zh-CN"/>
        </w:rPr>
        <w:t>（一）</w:t>
      </w:r>
      <w:r>
        <w:rPr>
          <w:rFonts w:hint="eastAsia" w:ascii="仿宋" w:hAnsi="仿宋" w:eastAsia="仿宋" w:cs="仿宋"/>
          <w:color w:val="auto"/>
          <w:highlight w:val="none"/>
        </w:rPr>
        <w:t>本合同自签订之日起生效。</w:t>
      </w:r>
    </w:p>
    <w:p w14:paraId="4642564E">
      <w:pPr>
        <w:spacing w:line="520" w:lineRule="exact"/>
        <w:ind w:firstLine="560" w:firstLineChars="200"/>
        <w:rPr>
          <w:rFonts w:hint="eastAsia" w:ascii="仿宋" w:hAnsi="仿宋" w:eastAsia="仿宋" w:cs="仿宋"/>
          <w:color w:val="auto"/>
          <w:highlight w:val="none"/>
        </w:rPr>
      </w:pPr>
      <w:r>
        <w:rPr>
          <w:rFonts w:hint="eastAsia" w:ascii="仿宋" w:hAnsi="仿宋" w:eastAsia="仿宋" w:cs="仿宋"/>
          <w:color w:val="auto"/>
          <w:highlight w:val="none"/>
          <w:lang w:eastAsia="zh-CN"/>
        </w:rPr>
        <w:t>（二）本合同一式</w:t>
      </w:r>
      <w:r>
        <w:rPr>
          <w:rFonts w:hint="eastAsia" w:ascii="仿宋" w:hAnsi="仿宋" w:eastAsia="仿宋" w:cs="仿宋"/>
          <w:color w:val="auto"/>
          <w:highlight w:val="none"/>
          <w:u w:val="single"/>
          <w:lang w:eastAsia="zh-CN"/>
        </w:rPr>
        <w:t>伍</w:t>
      </w:r>
      <w:r>
        <w:rPr>
          <w:rFonts w:hint="eastAsia" w:ascii="仿宋" w:hAnsi="仿宋" w:eastAsia="仿宋" w:cs="仿宋"/>
          <w:color w:val="auto"/>
          <w:highlight w:val="none"/>
          <w:lang w:eastAsia="zh-CN"/>
        </w:rPr>
        <w:t>份，双方各执</w:t>
      </w:r>
      <w:r>
        <w:rPr>
          <w:rFonts w:hint="eastAsia" w:ascii="仿宋" w:hAnsi="仿宋" w:eastAsia="仿宋" w:cs="仿宋"/>
          <w:color w:val="auto"/>
          <w:highlight w:val="none"/>
          <w:u w:val="single"/>
          <w:lang w:eastAsia="zh-CN"/>
        </w:rPr>
        <w:t>贰</w:t>
      </w:r>
      <w:r>
        <w:rPr>
          <w:rFonts w:hint="eastAsia" w:ascii="仿宋" w:hAnsi="仿宋" w:eastAsia="仿宋" w:cs="仿宋"/>
          <w:color w:val="auto"/>
          <w:highlight w:val="none"/>
          <w:lang w:eastAsia="zh-CN"/>
        </w:rPr>
        <w:t>份，陕西省省级单位政府采购中心执</w:t>
      </w:r>
      <w:r>
        <w:rPr>
          <w:rFonts w:hint="eastAsia" w:ascii="仿宋" w:hAnsi="仿宋" w:eastAsia="仿宋" w:cs="仿宋"/>
          <w:color w:val="auto"/>
          <w:highlight w:val="none"/>
          <w:u w:val="single"/>
          <w:lang w:eastAsia="zh-CN"/>
        </w:rPr>
        <w:t>壹</w:t>
      </w:r>
      <w:r>
        <w:rPr>
          <w:rFonts w:hint="eastAsia" w:ascii="仿宋" w:hAnsi="仿宋" w:eastAsia="仿宋" w:cs="仿宋"/>
          <w:color w:val="auto"/>
          <w:highlight w:val="none"/>
          <w:lang w:eastAsia="zh-CN"/>
        </w:rPr>
        <w:t>份，具备同等法律效力。</w:t>
      </w:r>
    </w:p>
    <w:p w14:paraId="7ADB8302">
      <w:pPr>
        <w:spacing w:line="500" w:lineRule="exact"/>
        <w:ind w:firstLine="560" w:firstLineChars="200"/>
        <w:rPr>
          <w:rFonts w:hint="eastAsia" w:ascii="仿宋" w:hAnsi="仿宋" w:eastAsia="仿宋" w:cs="仿宋"/>
          <w:color w:val="auto"/>
          <w:highlight w:val="none"/>
        </w:rPr>
      </w:pPr>
      <w:r>
        <w:rPr>
          <w:rFonts w:hint="eastAsia" w:ascii="仿宋" w:hAnsi="仿宋" w:eastAsia="仿宋" w:cs="仿宋"/>
          <w:color w:val="auto"/>
          <w:highlight w:val="none"/>
          <w:lang w:eastAsia="zh-CN"/>
        </w:rPr>
        <w:t>（三）</w:t>
      </w:r>
      <w:r>
        <w:rPr>
          <w:rFonts w:hint="eastAsia" w:ascii="仿宋" w:hAnsi="仿宋" w:eastAsia="仿宋" w:cs="仿宋"/>
          <w:color w:val="auto"/>
          <w:highlight w:val="none"/>
        </w:rPr>
        <w:t>未尽事宜由双方在签订合同时具体明确。</w:t>
      </w:r>
    </w:p>
    <w:p w14:paraId="3C367051">
      <w:pPr>
        <w:rPr>
          <w:rFonts w:hint="eastAsia"/>
        </w:rPr>
      </w:pPr>
      <w:r>
        <w:rPr>
          <w:rFonts w:hint="eastAsia"/>
        </w:rPr>
        <w:br w:type="page"/>
      </w:r>
    </w:p>
    <w:p w14:paraId="3081E92D">
      <w:pPr>
        <w:pStyle w:val="2"/>
        <w:rPr>
          <w:rFonts w:hint="eastAsia"/>
        </w:rPr>
      </w:pPr>
    </w:p>
    <w:tbl>
      <w:tblPr>
        <w:tblStyle w:val="10"/>
        <w:tblpPr w:leftFromText="180" w:rightFromText="180" w:vertAnchor="text" w:horzAnchor="margin" w:tblpX="-691" w:tblpY="313"/>
        <w:tblW w:w="10400" w:type="dxa"/>
        <w:tblInd w:w="0" w:type="dxa"/>
        <w:tblLayout w:type="fixed"/>
        <w:tblCellMar>
          <w:top w:w="0" w:type="dxa"/>
          <w:left w:w="108" w:type="dxa"/>
          <w:bottom w:w="0" w:type="dxa"/>
          <w:right w:w="108" w:type="dxa"/>
        </w:tblCellMar>
      </w:tblPr>
      <w:tblGrid>
        <w:gridCol w:w="5250"/>
        <w:gridCol w:w="5150"/>
      </w:tblGrid>
      <w:tr w14:paraId="3742784A">
        <w:tblPrEx>
          <w:tblCellMar>
            <w:top w:w="0" w:type="dxa"/>
            <w:left w:w="108" w:type="dxa"/>
            <w:bottom w:w="0" w:type="dxa"/>
            <w:right w:w="108" w:type="dxa"/>
          </w:tblCellMar>
        </w:tblPrEx>
        <w:trPr>
          <w:trHeight w:val="1851" w:hRule="atLeast"/>
        </w:trPr>
        <w:tc>
          <w:tcPr>
            <w:tcW w:w="5250" w:type="dxa"/>
            <w:noWrap w:val="0"/>
            <w:vAlign w:val="top"/>
          </w:tcPr>
          <w:p w14:paraId="576E3C3E">
            <w:pPr>
              <w:ind w:left="600" w:hanging="700" w:hangingChars="250"/>
              <w:rPr>
                <w:rFonts w:hint="eastAsia" w:ascii="仿宋" w:hAnsi="仿宋" w:eastAsia="仿宋" w:cs="仿宋"/>
                <w:b w:val="0"/>
                <w:bCs w:val="0"/>
                <w:color w:val="000000"/>
                <w:kern w:val="2"/>
                <w:sz w:val="28"/>
                <w:szCs w:val="32"/>
                <w:lang w:val="en-US" w:eastAsia="zh-CN" w:bidi="ar-SA"/>
              </w:rPr>
            </w:pPr>
            <w:r>
              <w:rPr>
                <w:rFonts w:hint="eastAsia" w:ascii="仿宋" w:hAnsi="仿宋" w:eastAsia="仿宋" w:cs="仿宋"/>
                <w:b w:val="0"/>
                <w:bCs w:val="0"/>
                <w:color w:val="000000"/>
                <w:kern w:val="2"/>
                <w:sz w:val="28"/>
                <w:szCs w:val="32"/>
                <w:lang w:val="en-US" w:eastAsia="zh-CN" w:bidi="ar-SA"/>
              </w:rPr>
              <w:t>甲方：陕西省市场监督管理局信息中心</w:t>
            </w:r>
          </w:p>
          <w:p w14:paraId="079E2871">
            <w:pPr>
              <w:ind w:left="720" w:hanging="840" w:hangingChars="300"/>
              <w:rPr>
                <w:rFonts w:hint="eastAsia" w:ascii="仿宋" w:hAnsi="仿宋" w:eastAsia="仿宋" w:cs="仿宋"/>
                <w:b w:val="0"/>
                <w:bCs w:val="0"/>
                <w:color w:val="000000"/>
                <w:kern w:val="2"/>
                <w:sz w:val="28"/>
                <w:szCs w:val="32"/>
                <w:lang w:val="en-US" w:eastAsia="zh-CN" w:bidi="ar-SA"/>
              </w:rPr>
            </w:pPr>
          </w:p>
          <w:p w14:paraId="24AE670B">
            <w:pPr>
              <w:ind w:left="720" w:hanging="840" w:hangingChars="300"/>
              <w:rPr>
                <w:rFonts w:hint="eastAsia" w:ascii="仿宋" w:hAnsi="仿宋" w:eastAsia="仿宋" w:cs="仿宋"/>
                <w:b w:val="0"/>
                <w:bCs w:val="0"/>
                <w:color w:val="000000"/>
                <w:kern w:val="2"/>
                <w:sz w:val="28"/>
                <w:szCs w:val="32"/>
                <w:lang w:val="en-US" w:eastAsia="zh-CN" w:bidi="ar-SA"/>
              </w:rPr>
            </w:pPr>
          </w:p>
          <w:p w14:paraId="155A27BC">
            <w:pPr>
              <w:rPr>
                <w:rFonts w:hint="eastAsia" w:ascii="仿宋" w:hAnsi="仿宋" w:eastAsia="仿宋" w:cs="仿宋"/>
                <w:b w:val="0"/>
                <w:bCs w:val="0"/>
                <w:color w:val="000000"/>
                <w:kern w:val="2"/>
                <w:sz w:val="28"/>
                <w:szCs w:val="32"/>
                <w:lang w:val="en-US" w:eastAsia="zh-CN" w:bidi="ar-SA"/>
              </w:rPr>
            </w:pPr>
          </w:p>
          <w:p w14:paraId="28E960BC">
            <w:pPr>
              <w:pStyle w:val="2"/>
              <w:ind w:firstLine="480"/>
              <w:rPr>
                <w:rFonts w:hint="eastAsia" w:ascii="仿宋" w:hAnsi="仿宋" w:eastAsia="仿宋" w:cs="仿宋"/>
                <w:b w:val="0"/>
                <w:bCs w:val="0"/>
                <w:color w:val="000000"/>
                <w:kern w:val="2"/>
                <w:sz w:val="28"/>
                <w:szCs w:val="32"/>
                <w:lang w:val="en-US" w:eastAsia="zh-CN" w:bidi="ar-SA"/>
              </w:rPr>
            </w:pPr>
          </w:p>
        </w:tc>
        <w:tc>
          <w:tcPr>
            <w:tcW w:w="5150" w:type="dxa"/>
            <w:noWrap w:val="0"/>
            <w:vAlign w:val="top"/>
          </w:tcPr>
          <w:p w14:paraId="6149FC17">
            <w:pPr>
              <w:ind w:left="600" w:hanging="700" w:hangingChars="250"/>
              <w:rPr>
                <w:rFonts w:hint="eastAsia" w:ascii="仿宋" w:hAnsi="仿宋" w:eastAsia="仿宋" w:cs="仿宋"/>
                <w:b w:val="0"/>
                <w:bCs w:val="0"/>
                <w:color w:val="000000"/>
                <w:kern w:val="2"/>
                <w:sz w:val="28"/>
                <w:szCs w:val="32"/>
                <w:lang w:val="en-US" w:eastAsia="zh-CN" w:bidi="ar-SA"/>
              </w:rPr>
            </w:pPr>
            <w:r>
              <w:rPr>
                <w:rFonts w:hint="eastAsia" w:ascii="仿宋" w:hAnsi="仿宋" w:eastAsia="仿宋" w:cs="仿宋"/>
                <w:b w:val="0"/>
                <w:bCs w:val="0"/>
                <w:color w:val="000000"/>
                <w:kern w:val="2"/>
                <w:sz w:val="28"/>
                <w:szCs w:val="32"/>
                <w:lang w:val="en-US" w:eastAsia="zh-CN" w:bidi="ar-SA"/>
              </w:rPr>
              <w:t xml:space="preserve">乙方： </w:t>
            </w:r>
          </w:p>
          <w:p w14:paraId="5EBC1701">
            <w:pPr>
              <w:ind w:left="583" w:hanging="583" w:hangingChars="243"/>
              <w:rPr>
                <w:rFonts w:hint="eastAsia" w:ascii="宋体"/>
                <w:sz w:val="24"/>
              </w:rPr>
            </w:pPr>
          </w:p>
          <w:p w14:paraId="14AF6ED4">
            <w:pPr>
              <w:rPr>
                <w:rFonts w:ascii="宋体"/>
                <w:sz w:val="24"/>
              </w:rPr>
            </w:pPr>
          </w:p>
        </w:tc>
      </w:tr>
      <w:tr w14:paraId="12F08898">
        <w:tblPrEx>
          <w:tblCellMar>
            <w:top w:w="0" w:type="dxa"/>
            <w:left w:w="108" w:type="dxa"/>
            <w:bottom w:w="0" w:type="dxa"/>
            <w:right w:w="108" w:type="dxa"/>
          </w:tblCellMar>
        </w:tblPrEx>
        <w:trPr>
          <w:trHeight w:val="1396" w:hRule="atLeast"/>
        </w:trPr>
        <w:tc>
          <w:tcPr>
            <w:tcW w:w="5250" w:type="dxa"/>
            <w:noWrap w:val="0"/>
            <w:vAlign w:val="top"/>
          </w:tcPr>
          <w:p w14:paraId="25DD2FE6">
            <w:pPr>
              <w:ind w:left="600" w:hanging="700" w:hangingChars="250"/>
              <w:rPr>
                <w:rFonts w:hint="eastAsia" w:ascii="仿宋" w:hAnsi="仿宋" w:eastAsia="仿宋" w:cs="仿宋"/>
                <w:b w:val="0"/>
                <w:bCs w:val="0"/>
                <w:color w:val="000000"/>
                <w:kern w:val="2"/>
                <w:sz w:val="28"/>
                <w:szCs w:val="32"/>
                <w:lang w:val="en-US" w:eastAsia="zh-CN" w:bidi="ar-SA"/>
              </w:rPr>
            </w:pPr>
          </w:p>
          <w:p w14:paraId="6F9A4B41">
            <w:pPr>
              <w:ind w:left="600" w:hanging="700" w:hangingChars="250"/>
              <w:rPr>
                <w:rFonts w:hint="eastAsia" w:ascii="仿宋" w:hAnsi="仿宋" w:eastAsia="仿宋" w:cs="仿宋"/>
                <w:b w:val="0"/>
                <w:bCs w:val="0"/>
                <w:color w:val="000000"/>
                <w:kern w:val="2"/>
                <w:sz w:val="28"/>
                <w:szCs w:val="32"/>
                <w:lang w:val="en-US" w:eastAsia="zh-CN" w:bidi="ar-SA"/>
              </w:rPr>
            </w:pPr>
            <w:r>
              <w:rPr>
                <w:rFonts w:hint="eastAsia" w:ascii="仿宋" w:hAnsi="仿宋" w:eastAsia="仿宋" w:cs="仿宋"/>
                <w:b w:val="0"/>
                <w:bCs w:val="0"/>
                <w:color w:val="000000"/>
                <w:kern w:val="2"/>
                <w:sz w:val="28"/>
                <w:szCs w:val="32"/>
                <w:lang w:val="en-US" w:eastAsia="zh-CN" w:bidi="ar-SA"/>
              </w:rPr>
              <w:t>被授权代表：</w:t>
            </w:r>
          </w:p>
          <w:p w14:paraId="3C9B2746">
            <w:pPr>
              <w:ind w:left="600" w:hanging="700" w:hangingChars="250"/>
              <w:rPr>
                <w:rFonts w:hint="eastAsia" w:ascii="仿宋" w:hAnsi="仿宋" w:eastAsia="仿宋" w:cs="仿宋"/>
                <w:b w:val="0"/>
                <w:bCs w:val="0"/>
                <w:color w:val="000000"/>
                <w:kern w:val="2"/>
                <w:sz w:val="28"/>
                <w:szCs w:val="32"/>
                <w:lang w:val="en-US" w:eastAsia="zh-CN" w:bidi="ar-SA"/>
              </w:rPr>
            </w:pPr>
          </w:p>
        </w:tc>
        <w:tc>
          <w:tcPr>
            <w:tcW w:w="5150" w:type="dxa"/>
            <w:noWrap w:val="0"/>
            <w:vAlign w:val="top"/>
          </w:tcPr>
          <w:p w14:paraId="6973744E">
            <w:pPr>
              <w:ind w:left="600" w:hanging="700" w:hangingChars="250"/>
              <w:rPr>
                <w:rFonts w:hint="eastAsia" w:ascii="仿宋" w:hAnsi="仿宋" w:eastAsia="仿宋" w:cs="仿宋"/>
                <w:b w:val="0"/>
                <w:bCs w:val="0"/>
                <w:color w:val="000000"/>
                <w:kern w:val="2"/>
                <w:sz w:val="28"/>
                <w:szCs w:val="32"/>
                <w:lang w:val="en-US" w:eastAsia="zh-CN" w:bidi="ar-SA"/>
              </w:rPr>
            </w:pPr>
          </w:p>
          <w:p w14:paraId="4A41785E">
            <w:pPr>
              <w:ind w:left="600" w:hanging="700" w:hangingChars="250"/>
              <w:rPr>
                <w:rFonts w:hint="eastAsia" w:ascii="仿宋" w:hAnsi="仿宋" w:eastAsia="仿宋" w:cs="仿宋"/>
                <w:b w:val="0"/>
                <w:bCs w:val="0"/>
                <w:color w:val="000000"/>
                <w:kern w:val="2"/>
                <w:sz w:val="28"/>
                <w:szCs w:val="32"/>
                <w:lang w:val="en-US" w:eastAsia="zh-CN" w:bidi="ar-SA"/>
              </w:rPr>
            </w:pPr>
            <w:r>
              <w:rPr>
                <w:rFonts w:hint="eastAsia" w:ascii="仿宋" w:hAnsi="仿宋" w:eastAsia="仿宋" w:cs="仿宋"/>
                <w:b w:val="0"/>
                <w:bCs w:val="0"/>
                <w:color w:val="000000"/>
                <w:kern w:val="2"/>
                <w:sz w:val="28"/>
                <w:szCs w:val="32"/>
                <w:lang w:val="en-US" w:eastAsia="zh-CN" w:bidi="ar-SA"/>
              </w:rPr>
              <w:t>被授权代表：</w:t>
            </w:r>
          </w:p>
        </w:tc>
      </w:tr>
      <w:tr w14:paraId="49887E75">
        <w:tblPrEx>
          <w:tblCellMar>
            <w:top w:w="0" w:type="dxa"/>
            <w:left w:w="108" w:type="dxa"/>
            <w:bottom w:w="0" w:type="dxa"/>
            <w:right w:w="108" w:type="dxa"/>
          </w:tblCellMar>
        </w:tblPrEx>
        <w:trPr>
          <w:trHeight w:val="1555" w:hRule="atLeast"/>
        </w:trPr>
        <w:tc>
          <w:tcPr>
            <w:tcW w:w="5250" w:type="dxa"/>
            <w:noWrap w:val="0"/>
            <w:vAlign w:val="top"/>
          </w:tcPr>
          <w:p w14:paraId="539CFC65">
            <w:pPr>
              <w:ind w:left="600" w:hanging="700" w:hangingChars="250"/>
              <w:rPr>
                <w:rFonts w:hint="eastAsia" w:ascii="仿宋" w:hAnsi="仿宋" w:eastAsia="仿宋" w:cs="仿宋"/>
                <w:b w:val="0"/>
                <w:bCs w:val="0"/>
                <w:color w:val="000000"/>
                <w:kern w:val="2"/>
                <w:sz w:val="28"/>
                <w:szCs w:val="32"/>
                <w:lang w:val="en-US" w:eastAsia="zh-CN" w:bidi="ar-SA"/>
              </w:rPr>
            </w:pPr>
          </w:p>
          <w:p w14:paraId="4A3A33E7">
            <w:pPr>
              <w:ind w:left="600" w:hanging="700" w:hangingChars="250"/>
              <w:rPr>
                <w:rFonts w:hint="eastAsia" w:ascii="仿宋" w:hAnsi="仿宋" w:eastAsia="仿宋" w:cs="仿宋"/>
                <w:b w:val="0"/>
                <w:bCs w:val="0"/>
                <w:color w:val="000000"/>
                <w:kern w:val="2"/>
                <w:sz w:val="28"/>
                <w:szCs w:val="32"/>
                <w:lang w:val="en-US" w:eastAsia="zh-CN" w:bidi="ar-SA"/>
              </w:rPr>
            </w:pPr>
            <w:r>
              <w:rPr>
                <w:rFonts w:hint="eastAsia" w:ascii="仿宋" w:hAnsi="仿宋" w:eastAsia="仿宋" w:cs="仿宋"/>
                <w:b w:val="0"/>
                <w:bCs w:val="0"/>
                <w:color w:val="000000"/>
                <w:kern w:val="2"/>
                <w:sz w:val="28"/>
                <w:szCs w:val="32"/>
                <w:lang w:val="en-US" w:eastAsia="zh-CN" w:bidi="ar-SA"/>
              </w:rPr>
              <w:t>签字日期：   年   月   日</w:t>
            </w:r>
          </w:p>
          <w:p w14:paraId="24C5102F">
            <w:pPr>
              <w:ind w:left="600" w:hanging="700" w:hangingChars="250"/>
              <w:rPr>
                <w:rFonts w:hint="eastAsia" w:ascii="仿宋" w:hAnsi="仿宋" w:eastAsia="仿宋" w:cs="仿宋"/>
                <w:b w:val="0"/>
                <w:bCs w:val="0"/>
                <w:color w:val="000000"/>
                <w:kern w:val="2"/>
                <w:sz w:val="28"/>
                <w:szCs w:val="32"/>
                <w:lang w:val="en-US" w:eastAsia="zh-CN" w:bidi="ar-SA"/>
              </w:rPr>
            </w:pPr>
          </w:p>
        </w:tc>
        <w:tc>
          <w:tcPr>
            <w:tcW w:w="5150" w:type="dxa"/>
            <w:noWrap w:val="0"/>
            <w:vAlign w:val="top"/>
          </w:tcPr>
          <w:p w14:paraId="7B86CDA0">
            <w:pPr>
              <w:ind w:left="600" w:hanging="700" w:hangingChars="250"/>
              <w:rPr>
                <w:rFonts w:hint="eastAsia" w:ascii="仿宋" w:hAnsi="仿宋" w:eastAsia="仿宋" w:cs="仿宋"/>
                <w:b w:val="0"/>
                <w:bCs w:val="0"/>
                <w:color w:val="000000"/>
                <w:kern w:val="2"/>
                <w:sz w:val="28"/>
                <w:szCs w:val="32"/>
                <w:lang w:val="en-US" w:eastAsia="zh-CN" w:bidi="ar-SA"/>
              </w:rPr>
            </w:pPr>
          </w:p>
          <w:p w14:paraId="3ED6A0E3">
            <w:pPr>
              <w:ind w:left="600" w:hanging="700" w:hangingChars="250"/>
              <w:rPr>
                <w:rFonts w:hint="eastAsia" w:ascii="仿宋" w:hAnsi="仿宋" w:eastAsia="仿宋" w:cs="仿宋"/>
                <w:b w:val="0"/>
                <w:bCs w:val="0"/>
                <w:color w:val="000000"/>
                <w:kern w:val="2"/>
                <w:sz w:val="28"/>
                <w:szCs w:val="32"/>
                <w:lang w:val="en-US" w:eastAsia="zh-CN" w:bidi="ar-SA"/>
              </w:rPr>
            </w:pPr>
            <w:r>
              <w:rPr>
                <w:rFonts w:hint="eastAsia" w:ascii="仿宋" w:hAnsi="仿宋" w:eastAsia="仿宋" w:cs="仿宋"/>
                <w:b w:val="0"/>
                <w:bCs w:val="0"/>
                <w:color w:val="000000"/>
                <w:kern w:val="2"/>
                <w:sz w:val="28"/>
                <w:szCs w:val="32"/>
                <w:lang w:val="en-US" w:eastAsia="zh-CN" w:bidi="ar-SA"/>
              </w:rPr>
              <w:t>签字日期：   年   月   日</w:t>
            </w:r>
          </w:p>
        </w:tc>
      </w:tr>
    </w:tbl>
    <w:p w14:paraId="755826D5"/>
    <w:p w14:paraId="6C5417D8">
      <w:pPr>
        <w:pStyle w:val="2"/>
        <w:spacing w:line="240" w:lineRule="auto"/>
        <w:ind w:left="0" w:leftChars="0" w:firstLine="0" w:firstLineChars="0"/>
        <w:rPr>
          <w:rFonts w:hint="default"/>
          <w:lang w:val="en-US" w:eastAsia="zh-CN"/>
        </w:rPr>
      </w:pPr>
    </w:p>
    <w:sectPr>
      <w:pgSz w:w="11906" w:h="16839"/>
      <w:pgMar w:top="1440" w:right="1800" w:bottom="1440" w:left="1800" w:header="0" w:footer="1009" w:gutter="0"/>
      <w:cols w:space="0" w:num="1"/>
      <w:rtlGutter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6550B"/>
    <w:rsid w:val="01EA636A"/>
    <w:rsid w:val="03424825"/>
    <w:rsid w:val="057A17B3"/>
    <w:rsid w:val="0CA5180B"/>
    <w:rsid w:val="1046213D"/>
    <w:rsid w:val="134A4EBA"/>
    <w:rsid w:val="137120ED"/>
    <w:rsid w:val="1981715C"/>
    <w:rsid w:val="1C1442B7"/>
    <w:rsid w:val="1CE27BBA"/>
    <w:rsid w:val="221166DE"/>
    <w:rsid w:val="267047E0"/>
    <w:rsid w:val="2916166F"/>
    <w:rsid w:val="2B936FA7"/>
    <w:rsid w:val="2E4647A4"/>
    <w:rsid w:val="2FD22068"/>
    <w:rsid w:val="32621481"/>
    <w:rsid w:val="36E7464B"/>
    <w:rsid w:val="3BDC004C"/>
    <w:rsid w:val="40D864DE"/>
    <w:rsid w:val="40FC0CF2"/>
    <w:rsid w:val="429A07C3"/>
    <w:rsid w:val="43CD6976"/>
    <w:rsid w:val="4A58343D"/>
    <w:rsid w:val="4D0E4287"/>
    <w:rsid w:val="53A019B1"/>
    <w:rsid w:val="54077C82"/>
    <w:rsid w:val="571367C0"/>
    <w:rsid w:val="588345B9"/>
    <w:rsid w:val="58FE1654"/>
    <w:rsid w:val="591E5852"/>
    <w:rsid w:val="5A90452E"/>
    <w:rsid w:val="5B28504E"/>
    <w:rsid w:val="5EA42D82"/>
    <w:rsid w:val="614C4F26"/>
    <w:rsid w:val="64A13976"/>
    <w:rsid w:val="67401089"/>
    <w:rsid w:val="674F5770"/>
    <w:rsid w:val="67E91721"/>
    <w:rsid w:val="6D1E1E6D"/>
    <w:rsid w:val="6EE113A4"/>
    <w:rsid w:val="70433998"/>
    <w:rsid w:val="72177052"/>
    <w:rsid w:val="732D4BB8"/>
    <w:rsid w:val="74C50E20"/>
    <w:rsid w:val="786762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400" w:lineRule="exact"/>
      <w:jc w:val="both"/>
    </w:pPr>
    <w:rPr>
      <w:rFonts w:ascii="Calibri Light" w:hAnsi="Calibri Light" w:eastAsia="华文仿宋" w:cs="Calibri Light"/>
      <w:kern w:val="2"/>
      <w:sz w:val="28"/>
      <w:szCs w:val="28"/>
      <w:lang w:val="en-US" w:eastAsia="zh-CN" w:bidi="ar-SA"/>
    </w:rPr>
  </w:style>
  <w:style w:type="paragraph" w:styleId="3">
    <w:name w:val="heading 1"/>
    <w:basedOn w:val="1"/>
    <w:next w:val="1"/>
    <w:qFormat/>
    <w:uiPriority w:val="0"/>
    <w:pPr>
      <w:keepNext/>
      <w:keepLines/>
      <w:spacing w:line="240" w:lineRule="auto"/>
      <w:jc w:val="center"/>
      <w:outlineLvl w:val="0"/>
    </w:pPr>
    <w:rPr>
      <w:rFonts w:eastAsia="黑体"/>
      <w:b/>
      <w:bCs/>
      <w:color w:val="000000"/>
      <w:kern w:val="44"/>
      <w:sz w:val="32"/>
      <w:szCs w:val="36"/>
    </w:rPr>
  </w:style>
  <w:style w:type="paragraph" w:styleId="4">
    <w:name w:val="heading 2"/>
    <w:basedOn w:val="1"/>
    <w:next w:val="2"/>
    <w:unhideWhenUsed/>
    <w:qFormat/>
    <w:uiPriority w:val="0"/>
    <w:pPr>
      <w:keepNext/>
      <w:keepLines/>
      <w:spacing w:line="500" w:lineRule="exact"/>
      <w:ind w:firstLine="566" w:firstLineChars="200"/>
      <w:outlineLvl w:val="1"/>
    </w:pPr>
    <w:rPr>
      <w:rFonts w:ascii="Calibri" w:hAnsi="Calibri" w:cs="Calibri"/>
      <w:b/>
      <w:bCs/>
      <w:sz w:val="30"/>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pPr>
  </w:style>
  <w:style w:type="paragraph" w:styleId="5">
    <w:name w:val="Body Text"/>
    <w:basedOn w:val="1"/>
    <w:next w:val="1"/>
    <w:qFormat/>
    <w:uiPriority w:val="0"/>
  </w:style>
  <w:style w:type="paragraph" w:styleId="6">
    <w:name w:val="Body Text Indent"/>
    <w:basedOn w:val="1"/>
    <w:qFormat/>
    <w:uiPriority w:val="0"/>
    <w:pPr>
      <w:ind w:firstLine="830" w:firstLineChars="352"/>
    </w:pPr>
    <w:rPr>
      <w:rFonts w:ascii="仿宋_GB2312" w:eastAsia="仿宋_GB2312"/>
      <w:sz w:val="32"/>
    </w:rPr>
  </w:style>
  <w:style w:type="paragraph" w:styleId="7">
    <w:name w:val="Date"/>
    <w:basedOn w:val="1"/>
    <w:next w:val="1"/>
    <w:qFormat/>
    <w:uiPriority w:val="99"/>
    <w:rPr>
      <w:rFonts w:ascii="宋体" w:hAnsi="Courier New"/>
      <w:kern w:val="0"/>
      <w:sz w:val="24"/>
    </w:rPr>
  </w:style>
  <w:style w:type="paragraph" w:styleId="8">
    <w:name w:val="Body Text First Indent"/>
    <w:basedOn w:val="5"/>
    <w:next w:val="9"/>
    <w:unhideWhenUsed/>
    <w:qFormat/>
    <w:uiPriority w:val="0"/>
    <w:pPr>
      <w:spacing w:line="240" w:lineRule="auto"/>
      <w:ind w:firstLine="420" w:firstLineChars="100"/>
    </w:pPr>
    <w:rPr>
      <w:rFonts w:ascii="Times New Roman" w:hAnsi="Times New Roman"/>
      <w:sz w:val="18"/>
      <w:szCs w:val="18"/>
    </w:rPr>
  </w:style>
  <w:style w:type="paragraph" w:styleId="9">
    <w:name w:val="Body Text First Indent 2"/>
    <w:basedOn w:val="6"/>
    <w:next w:val="1"/>
    <w:qFormat/>
    <w:uiPriority w:val="0"/>
    <w:pPr>
      <w:spacing w:line="240" w:lineRule="auto"/>
      <w:ind w:firstLine="420" w:firstLineChars="200"/>
    </w:pPr>
    <w:rPr>
      <w:rFonts w:eastAsia="楷体_GB2312"/>
      <w:b/>
      <w:szCs w:val="24"/>
    </w:rPr>
  </w:style>
  <w:style w:type="character" w:customStyle="1" w:styleId="12">
    <w:name w:val="font01"/>
    <w:basedOn w:val="11"/>
    <w:qFormat/>
    <w:uiPriority w:val="0"/>
    <w:rPr>
      <w:rFonts w:hint="eastAsia" w:ascii="宋体" w:hAnsi="宋体" w:eastAsia="宋体" w:cs="宋体"/>
      <w:color w:val="000000"/>
      <w:sz w:val="22"/>
      <w:szCs w:val="22"/>
      <w:u w:val="none"/>
    </w:rPr>
  </w:style>
  <w:style w:type="character" w:customStyle="1" w:styleId="13">
    <w:name w:val="font21"/>
    <w:basedOn w:val="11"/>
    <w:qFormat/>
    <w:uiPriority w:val="0"/>
    <w:rPr>
      <w:rFonts w:hint="eastAsia" w:ascii="仿宋" w:hAnsi="仿宋" w:eastAsia="仿宋" w:cs="仿宋"/>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3701</Words>
  <Characters>3829</Characters>
  <Lines>0</Lines>
  <Paragraphs>0</Paragraphs>
  <TotalTime>2</TotalTime>
  <ScaleCrop>false</ScaleCrop>
  <LinksUpToDate>false</LinksUpToDate>
  <CharactersWithSpaces>3867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青女田田</cp:lastModifiedBy>
  <dcterms:modified xsi:type="dcterms:W3CDTF">2026-04-01T13:22:58Z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4085699F637E462EB2C8A23147584D0D_13</vt:lpwstr>
  </property>
  <property fmtid="{D5CDD505-2E9C-101B-9397-08002B2CF9AE}" pid="4" name="KSOTemplateDocerSaveRecord">
    <vt:lpwstr>eyJoZGlkIjoiNzE5OWE5ZDA3NjJmMmFlZDg5YzZhMjMwYzVlMjQyZDciLCJ1c2VySWQiOiIzMDc3MTg2NTcifQ==</vt:lpwstr>
  </property>
</Properties>
</file>