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版本号：HXGJXM2026-ZC-GK100120260401001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磁刺激仪、电子生物反馈等设备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HXGJXM2026-ZC-GK1001</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磁刺激仪、电子生物反馈等设备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磁刺激仪、电子生物反馈等设备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磁刺激仪、电子生物反馈等设备。具体详见招标文件第三章相关要求。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供应商资质：所投产品如属于医疗器械的须提供《医疗器械经营许可证》或《医疗器械经营备案凭证》；投标人为制造商的，所投产品如属于医疗器械的须提供《医疗器械生产许可证》或《医疗器械生产企业登记表》</w:t>
      </w:r>
    </w:p>
    <w:p>
      <w:pPr>
        <w:pStyle w:val="null3"/>
      </w:pPr>
      <w:r>
        <w:rPr>
          <w:rFonts w:ascii="仿宋_GB2312" w:hAnsi="仿宋_GB2312" w:cs="仿宋_GB2312" w:eastAsia="仿宋_GB2312"/>
        </w:rPr>
        <w:t>3、产品证书：所投产品属于医疗器械的提供医疗器械产品注册证（若注册证有附件的，还须提供附件）或医疗器械备案凭证</w:t>
      </w:r>
    </w:p>
    <w:p>
      <w:pPr>
        <w:pStyle w:val="null3"/>
      </w:pPr>
      <w:r>
        <w:rPr>
          <w:rFonts w:ascii="仿宋_GB2312" w:hAnsi="仿宋_GB2312" w:cs="仿宋_GB2312" w:eastAsia="仿宋_GB2312"/>
        </w:rPr>
        <w:t>4、信用记录：供应商未被“信用中国”网站(https://www.creditchina.gov.cn/) 列入失信被执行人和重大税收违法失信主体，未被中国政府采购网(http://www.ccgp.gov.cn/) 列入政府采购严重违法失信行为记录名单。(采购代理机构于本项目招标公告发布后至开标当日查询相关信用记录，对列入失信被执行人、重大税收违法失信主体、政府采购严重违法失信行为记录名单及其他不符合《中华人民共和国政府采购法》第二十二条规定的供 应商，采购代理机构将拒绝其参与政府采购活动，查询结果以电子或纸质方式留存)</w:t>
      </w:r>
    </w:p>
    <w:p>
      <w:pPr>
        <w:pStyle w:val="null3"/>
      </w:pPr>
      <w:r>
        <w:rPr>
          <w:rFonts w:ascii="仿宋_GB2312" w:hAnsi="仿宋_GB2312" w:cs="仿宋_GB2312" w:eastAsia="仿宋_GB2312"/>
        </w:rPr>
        <w:t>5、非联合体：本项目不接受联合体投标。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魏依依、陆文科、张艳萍、康敏茹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 的通知和国家发展和改革委员会办公厅颁发的《关于招标代理服务收费有关问题的通知》(发改办价格[2003]857号的有关规定下浮20%执行。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联系人：魏依依、陆文科、张艳萍、康敏茹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磁刺激仪、电子生物反馈等设备。具体详见招标文件第三章相关要求。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3,246,000.00</w:t>
      </w:r>
    </w:p>
    <w:p>
      <w:pPr>
        <w:pStyle w:val="null3"/>
      </w:pPr>
      <w:r>
        <w:rPr>
          <w:rFonts w:ascii="仿宋_GB2312" w:hAnsi="仿宋_GB2312" w:cs="仿宋_GB2312" w:eastAsia="仿宋_GB2312"/>
        </w:rPr>
        <w:t>采购包最高限价（元）: 3,246,000.00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磁刺激仪、电子生物反馈等设备 不专门面向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3,246,000.00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标的名称：磁刺激仪、电子生物反馈等设备 不专门面向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采购数量：</w:t>
            </w:r>
          </w:p>
          <w:tbl>
            <w:tblPr>
              <w:tblBorders>
                <w:top w:val="single"/>
                <w:left w:val="single"/>
                <w:bottom w:val="single"/>
                <w:right w:val="single"/>
                <w:insideH w:val="single"/>
                <w:insideV w:val="single"/>
              </w:tblBorders>
            </w:tblPr>
            <w:tblGrid>
              <w:gridCol w:w="112"/>
              <w:gridCol w:w="633"/>
              <w:gridCol w:w="112"/>
              <w:gridCol w:w="112"/>
              <w:gridCol w:w="423"/>
              <w:gridCol w:w="423"/>
              <w:gridCol w:w="423"/>
              <w:gridCol w:w="321"/>
            </w:tblGrid>
            <w:tr>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序号</w:t>
                  </w:r>
                </w:p>
              </w:tc>
              <w:tc>
                <w:tcPr>
                  <w:tcW w:type="dxa" w:w="6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设备名称</w:t>
                  </w:r>
                </w:p>
              </w:tc>
              <w:tc>
                <w:tcPr>
                  <w:tcW w:type="dxa" w:w="1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单位</w:t>
                  </w:r>
                </w:p>
              </w:tc>
              <w:tc>
                <w:tcPr>
                  <w:tcW w:type="dxa" w:w="1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数量</w:t>
                  </w:r>
                </w:p>
              </w:tc>
              <w:tc>
                <w:tcPr>
                  <w:tcW w:type="dxa" w:w="4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单价限价（万元）</w:t>
                  </w:r>
                </w:p>
              </w:tc>
              <w:tc>
                <w:tcPr>
                  <w:tcW w:type="dxa" w:w="4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小计限价（万元）</w:t>
                  </w:r>
                </w:p>
              </w:tc>
              <w:tc>
                <w:tcPr>
                  <w:tcW w:type="dxa" w:w="4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是否属于医疗器械</w:t>
                  </w:r>
                </w:p>
              </w:tc>
              <w:tc>
                <w:tcPr>
                  <w:tcW w:type="dxa" w:w="3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是否核心产品</w:t>
                  </w: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磁刺激仪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2</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30</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60</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2</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超声波治疗仪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4.6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4.6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微波治疗仪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4</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4.8</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19.2</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4</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低频电子脉冲治疗仪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2</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32</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5</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超短波治疗仪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3.7</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11.1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6</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电子生物反馈仪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2</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28.5</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57</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7</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X射线骨龄仪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70</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70</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8</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学习能力评估干预系统</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19.6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19.6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9</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全自动蜡疗系统</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17</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17</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10</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人体成分分析仪</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15.5</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15.5</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是</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11</w:t>
                  </w: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肠内营养粉自动混合配置机</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18.6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18.6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6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合计</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台</w:t>
                  </w:r>
                </w:p>
              </w:tc>
              <w:tc>
                <w:tcPr>
                  <w:tcW w:type="dxa" w:w="1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33</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rPr>
                    <w:t>324.6</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技术参数及要求</w:t>
            </w:r>
          </w:p>
          <w:p>
            <w:pPr>
              <w:pStyle w:val="null3"/>
              <w:jc w:val="both"/>
            </w:pPr>
            <w:r>
              <w:rPr>
                <w:rFonts w:ascii="仿宋_GB2312" w:hAnsi="仿宋_GB2312" w:cs="仿宋_GB2312" w:eastAsia="仿宋_GB2312"/>
                <w:b/>
              </w:rPr>
              <w:t>1.磁刺激仪</w:t>
            </w:r>
          </w:p>
          <w:p>
            <w:pPr>
              <w:pStyle w:val="null3"/>
              <w:jc w:val="both"/>
            </w:pPr>
            <w:r>
              <w:rPr>
                <w:rFonts w:ascii="仿宋_GB2312" w:hAnsi="仿宋_GB2312" w:cs="仿宋_GB2312" w:eastAsia="仿宋_GB2312"/>
              </w:rPr>
              <w:t>1.1.用于刺激人体中枢神经和外周神经以及腰骶神经功能障碍的辅助治疗。</w:t>
            </w:r>
          </w:p>
          <w:p>
            <w:pPr>
              <w:pStyle w:val="null3"/>
              <w:jc w:val="both"/>
            </w:pPr>
            <w:r>
              <w:rPr>
                <w:rFonts w:ascii="仿宋_GB2312" w:hAnsi="仿宋_GB2312" w:cs="仿宋_GB2312" w:eastAsia="仿宋_GB2312"/>
              </w:rPr>
              <w:t>1.2.结构包含主机、刺激线圈、座椅或治疗椅、软件。</w:t>
            </w:r>
          </w:p>
          <w:p>
            <w:pPr>
              <w:pStyle w:val="null3"/>
              <w:jc w:val="both"/>
            </w:pPr>
            <w:r>
              <w:rPr>
                <w:rFonts w:ascii="仿宋_GB2312" w:hAnsi="仿宋_GB2312" w:cs="仿宋_GB2312" w:eastAsia="仿宋_GB2312"/>
              </w:rPr>
              <w:t>▲1.3.内置冷却系统，座椅独立外置，座椅靠背可电动调节≥180°。</w:t>
            </w:r>
          </w:p>
          <w:p>
            <w:pPr>
              <w:pStyle w:val="null3"/>
              <w:jc w:val="both"/>
            </w:pPr>
            <w:r>
              <w:rPr>
                <w:rFonts w:ascii="仿宋_GB2312" w:hAnsi="仿宋_GB2312" w:cs="仿宋_GB2312" w:eastAsia="仿宋_GB2312"/>
              </w:rPr>
              <w:t>1.4.系统实时监控并显示冷却液流量。</w:t>
            </w:r>
          </w:p>
          <w:p>
            <w:pPr>
              <w:pStyle w:val="null3"/>
              <w:jc w:val="both"/>
            </w:pPr>
            <w:r>
              <w:rPr>
                <w:rFonts w:ascii="仿宋_GB2312" w:hAnsi="仿宋_GB2312" w:cs="仿宋_GB2312" w:eastAsia="仿宋_GB2312"/>
              </w:rPr>
              <w:t>1.5.液冷盆底线圈符合人体盆底结构设计，脉冲磁场最大磁感应强度≥7Tesla。</w:t>
            </w:r>
          </w:p>
          <w:p>
            <w:pPr>
              <w:pStyle w:val="null3"/>
              <w:jc w:val="both"/>
            </w:pPr>
            <w:r>
              <w:rPr>
                <w:rFonts w:ascii="仿宋_GB2312" w:hAnsi="仿宋_GB2312" w:cs="仿宋_GB2312" w:eastAsia="仿宋_GB2312"/>
              </w:rPr>
              <w:t>1.6.脉冲磁场最大刺激频率≥100Hz，0-100Hz可调。</w:t>
            </w:r>
          </w:p>
          <w:p>
            <w:pPr>
              <w:pStyle w:val="null3"/>
              <w:jc w:val="both"/>
            </w:pPr>
            <w:r>
              <w:rPr>
                <w:rFonts w:ascii="仿宋_GB2312" w:hAnsi="仿宋_GB2312" w:cs="仿宋_GB2312" w:eastAsia="仿宋_GB2312"/>
              </w:rPr>
              <w:t>1.7.单个脉冲持续时间：340μs±20μs。</w:t>
            </w:r>
          </w:p>
          <w:p>
            <w:pPr>
              <w:pStyle w:val="null3"/>
              <w:jc w:val="both"/>
            </w:pPr>
            <w:r>
              <w:rPr>
                <w:rFonts w:ascii="仿宋_GB2312" w:hAnsi="仿宋_GB2312" w:cs="仿宋_GB2312" w:eastAsia="仿宋_GB2312"/>
              </w:rPr>
              <w:t>▲1.8.具有双通道运动诱发电位检测功能。</w:t>
            </w:r>
          </w:p>
          <w:p>
            <w:pPr>
              <w:pStyle w:val="null3"/>
              <w:jc w:val="both"/>
            </w:pPr>
            <w:r>
              <w:rPr>
                <w:rFonts w:ascii="仿宋_GB2312" w:hAnsi="仿宋_GB2312" w:cs="仿宋_GB2312" w:eastAsia="仿宋_GB2312"/>
              </w:rPr>
              <w:t>1.9.运动诱发电位测量范围：1～2700μV，最小分辨率≤1μV。</w:t>
            </w:r>
          </w:p>
          <w:p>
            <w:pPr>
              <w:pStyle w:val="null3"/>
              <w:jc w:val="both"/>
            </w:pPr>
            <w:r>
              <w:rPr>
                <w:rFonts w:ascii="仿宋_GB2312" w:hAnsi="仿宋_GB2312" w:cs="仿宋_GB2312" w:eastAsia="仿宋_GB2312"/>
              </w:rPr>
              <w:t>1.10.具备标准、调频、调幅等多种脉冲输出模式。</w:t>
            </w:r>
          </w:p>
          <w:p>
            <w:pPr>
              <w:pStyle w:val="null3"/>
              <w:jc w:val="both"/>
            </w:pPr>
            <w:r>
              <w:rPr>
                <w:rFonts w:ascii="仿宋_GB2312" w:hAnsi="仿宋_GB2312" w:cs="仿宋_GB2312" w:eastAsia="仿宋_GB2312"/>
              </w:rPr>
              <w:t>1.11.支持刺激方案自定义，频率、刺激时间、间歇时间等参数可调，刺激方案具有数字和图形两种显示方式。</w:t>
            </w:r>
          </w:p>
          <w:p>
            <w:pPr>
              <w:pStyle w:val="null3"/>
              <w:jc w:val="both"/>
            </w:pPr>
            <w:r>
              <w:rPr>
                <w:rFonts w:ascii="仿宋_GB2312" w:hAnsi="仿宋_GB2312" w:cs="仿宋_GB2312" w:eastAsia="仿宋_GB2312"/>
              </w:rPr>
              <w:t>1.12.具有患者体位示意图，可提示患者磁刺激刺激部位或摆放姿势体位。</w:t>
            </w:r>
          </w:p>
          <w:p>
            <w:pPr>
              <w:pStyle w:val="null3"/>
              <w:jc w:val="both"/>
            </w:pPr>
            <w:r>
              <w:rPr>
                <w:rFonts w:ascii="仿宋_GB2312" w:hAnsi="仿宋_GB2312" w:cs="仿宋_GB2312" w:eastAsia="仿宋_GB2312"/>
              </w:rPr>
              <w:t>1.13.具有盆底体外评估功能，用于评估盆底肌水平，无耗材，自动生成后续治疗方案。</w:t>
            </w:r>
          </w:p>
          <w:p>
            <w:pPr>
              <w:pStyle w:val="null3"/>
              <w:jc w:val="both"/>
            </w:pPr>
            <w:r>
              <w:rPr>
                <w:rFonts w:ascii="仿宋_GB2312" w:hAnsi="仿宋_GB2312" w:cs="仿宋_GB2312" w:eastAsia="仿宋_GB2312"/>
              </w:rPr>
              <w:t>1.14.具有数据管理功能，可回顾数据结果、波形，实现病历管理或病历导出。</w:t>
            </w:r>
          </w:p>
          <w:p>
            <w:pPr>
              <w:pStyle w:val="null3"/>
              <w:jc w:val="both"/>
            </w:pPr>
            <w:r>
              <w:rPr>
                <w:rFonts w:ascii="仿宋_GB2312" w:hAnsi="仿宋_GB2312" w:cs="仿宋_GB2312" w:eastAsia="仿宋_GB2312"/>
                <w:b/>
              </w:rPr>
              <w:t>2.超声波治疗仪</w:t>
            </w:r>
          </w:p>
          <w:p>
            <w:pPr>
              <w:pStyle w:val="null3"/>
              <w:jc w:val="left"/>
            </w:pPr>
            <w:r>
              <w:rPr>
                <w:rFonts w:ascii="仿宋_GB2312" w:hAnsi="仿宋_GB2312" w:cs="仿宋_GB2312" w:eastAsia="仿宋_GB2312"/>
              </w:rPr>
              <w:t>2.1.彩色液晶显示，可一键飞梭选择通道、设置治疗档位和治疗时间、启动/暂停/停止治疗等。</w:t>
            </w:r>
          </w:p>
          <w:p>
            <w:pPr>
              <w:pStyle w:val="null3"/>
              <w:jc w:val="left"/>
            </w:pPr>
            <w:r>
              <w:rPr>
                <w:rFonts w:ascii="仿宋_GB2312" w:hAnsi="仿宋_GB2312" w:cs="仿宋_GB2312" w:eastAsia="仿宋_GB2312"/>
              </w:rPr>
              <w:t>2.2实时显示治疗通道、治疗档位、工作模式、有效声强、输出功率、工作状态、治疗时间等参数。</w:t>
            </w:r>
          </w:p>
          <w:p>
            <w:pPr>
              <w:pStyle w:val="null3"/>
              <w:jc w:val="left"/>
            </w:pPr>
            <w:r>
              <w:rPr>
                <w:rFonts w:ascii="仿宋_GB2312" w:hAnsi="仿宋_GB2312" w:cs="仿宋_GB2312" w:eastAsia="仿宋_GB2312"/>
              </w:rPr>
              <w:t>▲2.3.配有固定治疗头和移动治疗头。</w:t>
            </w:r>
          </w:p>
          <w:p>
            <w:pPr>
              <w:pStyle w:val="null3"/>
              <w:jc w:val="left"/>
            </w:pPr>
            <w:r>
              <w:rPr>
                <w:rFonts w:ascii="仿宋_GB2312" w:hAnsi="仿宋_GB2312" w:cs="仿宋_GB2312" w:eastAsia="仿宋_GB2312"/>
              </w:rPr>
              <w:t>2.4.工作频率：1MHz±10%、3.2MHz±10%。</w:t>
            </w:r>
          </w:p>
          <w:p>
            <w:pPr>
              <w:pStyle w:val="null3"/>
              <w:jc w:val="left"/>
            </w:pPr>
            <w:r>
              <w:rPr>
                <w:rFonts w:ascii="仿宋_GB2312" w:hAnsi="仿宋_GB2312" w:cs="仿宋_GB2312" w:eastAsia="仿宋_GB2312"/>
              </w:rPr>
              <w:t>2.5.治疗头有效辐射面积≥2.5cm²。</w:t>
            </w:r>
          </w:p>
          <w:p>
            <w:pPr>
              <w:pStyle w:val="null3"/>
              <w:jc w:val="left"/>
            </w:pPr>
            <w:r>
              <w:rPr>
                <w:rFonts w:ascii="仿宋_GB2312" w:hAnsi="仿宋_GB2312" w:cs="仿宋_GB2312" w:eastAsia="仿宋_GB2312"/>
              </w:rPr>
              <w:t>2.6.额定输出有效声强≤3.0W/cm²。</w:t>
            </w:r>
          </w:p>
          <w:p>
            <w:pPr>
              <w:pStyle w:val="null3"/>
              <w:jc w:val="left"/>
            </w:pPr>
            <w:r>
              <w:rPr>
                <w:rFonts w:ascii="仿宋_GB2312" w:hAnsi="仿宋_GB2312" w:cs="仿宋_GB2312" w:eastAsia="仿宋_GB2312"/>
              </w:rPr>
              <w:t>2.7.波束最大声强≤24W/cm²。</w:t>
            </w:r>
          </w:p>
          <w:p>
            <w:pPr>
              <w:pStyle w:val="null3"/>
              <w:jc w:val="left"/>
            </w:pPr>
            <w:r>
              <w:rPr>
                <w:rFonts w:ascii="仿宋_GB2312" w:hAnsi="仿宋_GB2312" w:cs="仿宋_GB2312" w:eastAsia="仿宋_GB2312"/>
              </w:rPr>
              <w:t>2.8.治疗时间：0～30分钟。</w:t>
            </w:r>
          </w:p>
          <w:p>
            <w:pPr>
              <w:pStyle w:val="null3"/>
              <w:jc w:val="left"/>
            </w:pPr>
            <w:r>
              <w:rPr>
                <w:rFonts w:ascii="仿宋_GB2312" w:hAnsi="仿宋_GB2312" w:cs="仿宋_GB2312" w:eastAsia="仿宋_GB2312"/>
              </w:rPr>
              <w:t>2.9.调制波形：脉冲波。</w:t>
            </w:r>
          </w:p>
          <w:p>
            <w:pPr>
              <w:pStyle w:val="null3"/>
              <w:jc w:val="left"/>
            </w:pPr>
            <w:r>
              <w:rPr>
                <w:rFonts w:ascii="仿宋_GB2312" w:hAnsi="仿宋_GB2312" w:cs="仿宋_GB2312" w:eastAsia="仿宋_GB2312"/>
              </w:rPr>
              <w:t>2.10.脉冲重复周期：10ms，误差±5%。</w:t>
            </w:r>
          </w:p>
          <w:p>
            <w:pPr>
              <w:pStyle w:val="null3"/>
              <w:jc w:val="left"/>
            </w:pPr>
            <w:r>
              <w:rPr>
                <w:rFonts w:ascii="仿宋_GB2312" w:hAnsi="仿宋_GB2312" w:cs="仿宋_GB2312" w:eastAsia="仿宋_GB2312"/>
              </w:rPr>
              <w:t>2.11.输出模式：脉冲模式和连续模式。</w:t>
            </w:r>
          </w:p>
          <w:p>
            <w:pPr>
              <w:pStyle w:val="null3"/>
              <w:jc w:val="left"/>
            </w:pPr>
            <w:r>
              <w:rPr>
                <w:rFonts w:ascii="仿宋_GB2312" w:hAnsi="仿宋_GB2312" w:cs="仿宋_GB2312" w:eastAsia="仿宋_GB2312"/>
              </w:rPr>
              <w:t>2.12.占空比：0～90%可调，步进为10%。</w:t>
            </w:r>
          </w:p>
          <w:p>
            <w:pPr>
              <w:pStyle w:val="null3"/>
              <w:jc w:val="left"/>
            </w:pPr>
            <w:r>
              <w:rPr>
                <w:rFonts w:ascii="仿宋_GB2312" w:hAnsi="仿宋_GB2312" w:cs="仿宋_GB2312" w:eastAsia="仿宋_GB2312"/>
              </w:rPr>
              <w:t>2.13.治疗头防水等级≥IPX7。</w:t>
            </w:r>
          </w:p>
          <w:p>
            <w:pPr>
              <w:pStyle w:val="null3"/>
              <w:jc w:val="both"/>
            </w:pPr>
            <w:r>
              <w:rPr>
                <w:rFonts w:ascii="仿宋_GB2312" w:hAnsi="仿宋_GB2312" w:cs="仿宋_GB2312" w:eastAsia="仿宋_GB2312"/>
                <w:b/>
              </w:rPr>
              <w:t>3.微波治疗仪</w:t>
            </w:r>
          </w:p>
          <w:p>
            <w:pPr>
              <w:pStyle w:val="null3"/>
              <w:jc w:val="both"/>
            </w:pPr>
            <w:r>
              <w:rPr>
                <w:rFonts w:ascii="仿宋_GB2312" w:hAnsi="仿宋_GB2312" w:cs="仿宋_GB2312" w:eastAsia="仿宋_GB2312"/>
              </w:rPr>
              <w:t>3.1.注册证适用范围含康复理疗科。</w:t>
            </w:r>
          </w:p>
          <w:p>
            <w:pPr>
              <w:pStyle w:val="null3"/>
              <w:jc w:val="both"/>
            </w:pPr>
            <w:r>
              <w:rPr>
                <w:rFonts w:ascii="仿宋_GB2312" w:hAnsi="仿宋_GB2312" w:cs="仿宋_GB2312" w:eastAsia="仿宋_GB2312"/>
              </w:rPr>
              <w:t>3.2.可在常规病房和治疗室使用设备，无须单独设置屏蔽房。</w:t>
            </w:r>
          </w:p>
          <w:p>
            <w:pPr>
              <w:pStyle w:val="null3"/>
              <w:jc w:val="both"/>
            </w:pPr>
            <w:r>
              <w:rPr>
                <w:rFonts w:ascii="仿宋_GB2312" w:hAnsi="仿宋_GB2312" w:cs="仿宋_GB2312" w:eastAsia="仿宋_GB2312"/>
              </w:rPr>
              <w:t>3.3.微波频率：≥2450MHz。</w:t>
            </w:r>
          </w:p>
          <w:p>
            <w:pPr>
              <w:pStyle w:val="null3"/>
              <w:jc w:val="both"/>
            </w:pPr>
            <w:r>
              <w:rPr>
                <w:rFonts w:ascii="仿宋_GB2312" w:hAnsi="仿宋_GB2312" w:cs="仿宋_GB2312" w:eastAsia="仿宋_GB2312"/>
              </w:rPr>
              <w:t>3.4.微波理疗功率范围：≥0～90W。</w:t>
            </w:r>
          </w:p>
          <w:p>
            <w:pPr>
              <w:pStyle w:val="null3"/>
              <w:jc w:val="both"/>
            </w:pPr>
            <w:r>
              <w:rPr>
                <w:rFonts w:ascii="仿宋_GB2312" w:hAnsi="仿宋_GB2312" w:cs="仿宋_GB2312" w:eastAsia="仿宋_GB2312"/>
              </w:rPr>
              <w:t>3.5.治疗时间：理疗：0～30分，治疗：0～99秒。</w:t>
            </w:r>
          </w:p>
          <w:p>
            <w:pPr>
              <w:pStyle w:val="null3"/>
              <w:jc w:val="both"/>
            </w:pPr>
            <w:r>
              <w:rPr>
                <w:rFonts w:ascii="仿宋_GB2312" w:hAnsi="仿宋_GB2312" w:cs="仿宋_GB2312" w:eastAsia="仿宋_GB2312"/>
              </w:rPr>
              <w:t>▲3.6.具备输出馈线、磁控管超温报警功能。</w:t>
            </w:r>
          </w:p>
          <w:p>
            <w:pPr>
              <w:pStyle w:val="null3"/>
              <w:jc w:val="both"/>
            </w:pPr>
            <w:r>
              <w:rPr>
                <w:rFonts w:ascii="仿宋_GB2312" w:hAnsi="仿宋_GB2312" w:cs="仿宋_GB2312" w:eastAsia="仿宋_GB2312"/>
              </w:rPr>
              <w:t>3.</w:t>
            </w:r>
            <w:r>
              <w:rPr>
                <w:rFonts w:ascii="仿宋_GB2312" w:hAnsi="仿宋_GB2312" w:cs="仿宋_GB2312" w:eastAsia="仿宋_GB2312"/>
              </w:rPr>
              <w:t>7.理疗辐射器：直径≥160mm。</w:t>
            </w:r>
          </w:p>
          <w:p>
            <w:pPr>
              <w:pStyle w:val="null3"/>
              <w:jc w:val="both"/>
            </w:pPr>
            <w:r>
              <w:rPr>
                <w:rFonts w:ascii="仿宋_GB2312" w:hAnsi="仿宋_GB2312" w:cs="仿宋_GB2312" w:eastAsia="仿宋_GB2312"/>
              </w:rPr>
              <w:t>3.8.具有功率加强保护和功率自适应功能。</w:t>
            </w:r>
          </w:p>
          <w:p>
            <w:pPr>
              <w:pStyle w:val="null3"/>
              <w:jc w:val="both"/>
            </w:pPr>
            <w:r>
              <w:rPr>
                <w:rFonts w:ascii="仿宋_GB2312" w:hAnsi="仿宋_GB2312" w:cs="仿宋_GB2312" w:eastAsia="仿宋_GB2312"/>
              </w:rPr>
              <w:t>3.9.配置推车。</w:t>
            </w:r>
          </w:p>
          <w:p>
            <w:pPr>
              <w:pStyle w:val="null3"/>
              <w:jc w:val="both"/>
            </w:pPr>
            <w:r>
              <w:rPr>
                <w:rFonts w:ascii="仿宋_GB2312" w:hAnsi="仿宋_GB2312" w:cs="仿宋_GB2312" w:eastAsia="仿宋_GB2312"/>
              </w:rPr>
              <w:t>3.10.设备使用期≥6年。</w:t>
            </w:r>
          </w:p>
          <w:p>
            <w:pPr>
              <w:pStyle w:val="null3"/>
              <w:jc w:val="both"/>
            </w:pPr>
            <w:r>
              <w:rPr>
                <w:rFonts w:ascii="仿宋_GB2312" w:hAnsi="仿宋_GB2312" w:cs="仿宋_GB2312" w:eastAsia="仿宋_GB2312"/>
                <w:b/>
              </w:rPr>
              <w:t>4.低频电子脉冲治疗仪</w:t>
            </w:r>
          </w:p>
          <w:p>
            <w:pPr>
              <w:pStyle w:val="null3"/>
              <w:jc w:val="both"/>
            </w:pPr>
            <w:r>
              <w:rPr>
                <w:rFonts w:ascii="仿宋_GB2312" w:hAnsi="仿宋_GB2312" w:cs="仿宋_GB2312" w:eastAsia="仿宋_GB2312"/>
              </w:rPr>
              <w:t>4.1.用于产后催乳治疗，可促进产后排尿、子官复旧、产后恢复等。</w:t>
            </w:r>
          </w:p>
          <w:p>
            <w:pPr>
              <w:pStyle w:val="null3"/>
              <w:jc w:val="both"/>
            </w:pPr>
            <w:r>
              <w:rPr>
                <w:rFonts w:ascii="仿宋_GB2312" w:hAnsi="仿宋_GB2312" w:cs="仿宋_GB2312" w:eastAsia="仿宋_GB2312"/>
              </w:rPr>
              <w:t>▲4.2.八通道独立输出治疗，治疗强度可分别单独设置。</w:t>
            </w:r>
          </w:p>
          <w:p>
            <w:pPr>
              <w:pStyle w:val="null3"/>
              <w:jc w:val="both"/>
            </w:pPr>
            <w:r>
              <w:rPr>
                <w:rFonts w:ascii="仿宋_GB2312" w:hAnsi="仿宋_GB2312" w:cs="仿宋_GB2312" w:eastAsia="仿宋_GB2312"/>
              </w:rPr>
              <w:t>4.3.显示屏幕≥3.5英寸，显示包括各类治疗方案、能量量化值、治疗剩余时间等。</w:t>
            </w:r>
          </w:p>
          <w:p>
            <w:pPr>
              <w:pStyle w:val="null3"/>
              <w:jc w:val="both"/>
            </w:pPr>
            <w:r>
              <w:rPr>
                <w:rFonts w:ascii="仿宋_GB2312" w:hAnsi="仿宋_GB2312" w:cs="仿宋_GB2312" w:eastAsia="仿宋_GB2312"/>
              </w:rPr>
              <w:t>4.4.各通道有独立开始、暂停按键。</w:t>
            </w:r>
          </w:p>
          <w:p>
            <w:pPr>
              <w:pStyle w:val="null3"/>
              <w:jc w:val="both"/>
            </w:pPr>
            <w:r>
              <w:rPr>
                <w:rFonts w:ascii="仿宋_GB2312" w:hAnsi="仿宋_GB2312" w:cs="仿宋_GB2312" w:eastAsia="仿宋_GB2312"/>
              </w:rPr>
              <w:t>4.5.治疗时间可调节：5～60min。</w:t>
            </w:r>
          </w:p>
          <w:p>
            <w:pPr>
              <w:pStyle w:val="null3"/>
              <w:jc w:val="both"/>
            </w:pPr>
            <w:r>
              <w:rPr>
                <w:rFonts w:ascii="仿宋_GB2312" w:hAnsi="仿宋_GB2312" w:cs="仿宋_GB2312" w:eastAsia="仿宋_GB2312"/>
              </w:rPr>
              <w:t>4.6.脉冲频率≤800Hz；</w:t>
            </w:r>
          </w:p>
          <w:p>
            <w:pPr>
              <w:pStyle w:val="null3"/>
              <w:jc w:val="both"/>
            </w:pPr>
            <w:r>
              <w:rPr>
                <w:rFonts w:ascii="仿宋_GB2312" w:hAnsi="仿宋_GB2312" w:cs="仿宋_GB2312" w:eastAsia="仿宋_GB2312"/>
              </w:rPr>
              <w:t>4.7.单个脉冲电量≥7µc。</w:t>
            </w:r>
          </w:p>
          <w:p>
            <w:pPr>
              <w:pStyle w:val="null3"/>
              <w:jc w:val="both"/>
            </w:pPr>
            <w:r>
              <w:rPr>
                <w:rFonts w:ascii="仿宋_GB2312" w:hAnsi="仿宋_GB2312" w:cs="仿宋_GB2312" w:eastAsia="仿宋_GB2312"/>
              </w:rPr>
              <w:t>4.8.单个脉冲最大输出能量≤300mJ。</w:t>
            </w:r>
          </w:p>
          <w:p>
            <w:pPr>
              <w:pStyle w:val="null3"/>
              <w:jc w:val="both"/>
            </w:pPr>
            <w:r>
              <w:rPr>
                <w:rFonts w:ascii="仿宋_GB2312" w:hAnsi="仿宋_GB2312" w:cs="仿宋_GB2312" w:eastAsia="仿宋_GB2312"/>
              </w:rPr>
              <w:t>4.9.最大输出幅度有效值≤40V。</w:t>
            </w:r>
          </w:p>
          <w:p>
            <w:pPr>
              <w:pStyle w:val="null3"/>
              <w:jc w:val="both"/>
            </w:pPr>
            <w:r>
              <w:rPr>
                <w:rFonts w:ascii="仿宋_GB2312" w:hAnsi="仿宋_GB2312" w:cs="仿宋_GB2312" w:eastAsia="仿宋_GB2312"/>
              </w:rPr>
              <w:t>4.10.内置锂电池。</w:t>
            </w:r>
          </w:p>
          <w:p>
            <w:pPr>
              <w:pStyle w:val="null3"/>
              <w:jc w:val="both"/>
            </w:pPr>
            <w:r>
              <w:rPr>
                <w:rFonts w:ascii="仿宋_GB2312" w:hAnsi="仿宋_GB2312" w:cs="仿宋_GB2312" w:eastAsia="仿宋_GB2312"/>
              </w:rPr>
              <w:t>4.11.配置台车。</w:t>
            </w:r>
          </w:p>
          <w:p>
            <w:pPr>
              <w:pStyle w:val="null3"/>
              <w:jc w:val="both"/>
            </w:pPr>
            <w:r>
              <w:rPr>
                <w:rFonts w:ascii="仿宋_GB2312" w:hAnsi="仿宋_GB2312" w:cs="仿宋_GB2312" w:eastAsia="仿宋_GB2312"/>
                <w:b/>
              </w:rPr>
              <w:t>5.超短波治疗仪</w:t>
            </w:r>
          </w:p>
          <w:p>
            <w:pPr>
              <w:pStyle w:val="null3"/>
              <w:jc w:val="both"/>
            </w:pPr>
            <w:r>
              <w:rPr>
                <w:rFonts w:ascii="仿宋_GB2312" w:hAnsi="仿宋_GB2312" w:cs="仿宋_GB2312" w:eastAsia="仿宋_GB2312"/>
              </w:rPr>
              <w:t>5.1.用于对人体进行止痛、解痉、消炎的辅助治疗。</w:t>
            </w:r>
          </w:p>
          <w:p>
            <w:pPr>
              <w:pStyle w:val="null3"/>
              <w:jc w:val="both"/>
            </w:pPr>
            <w:r>
              <w:rPr>
                <w:rFonts w:ascii="仿宋_GB2312" w:hAnsi="仿宋_GB2312" w:cs="仿宋_GB2312" w:eastAsia="仿宋_GB2312"/>
              </w:rPr>
              <w:t>5.2.落地式，具有电子定时、声光提示、光柱显示输出强度功能。</w:t>
            </w:r>
          </w:p>
          <w:p>
            <w:pPr>
              <w:pStyle w:val="null3"/>
              <w:jc w:val="both"/>
            </w:pPr>
            <w:r>
              <w:rPr>
                <w:rFonts w:ascii="仿宋_GB2312" w:hAnsi="仿宋_GB2312" w:cs="仿宋_GB2312" w:eastAsia="仿宋_GB2312"/>
              </w:rPr>
              <w:t>5.3.输出调节≥10档。</w:t>
            </w:r>
          </w:p>
          <w:p>
            <w:pPr>
              <w:pStyle w:val="null3"/>
              <w:jc w:val="both"/>
            </w:pPr>
            <w:r>
              <w:rPr>
                <w:rFonts w:ascii="仿宋_GB2312" w:hAnsi="仿宋_GB2312" w:cs="仿宋_GB2312" w:eastAsia="仿宋_GB2312"/>
              </w:rPr>
              <w:t>5.4.工作频率：27MHz±1%。</w:t>
            </w:r>
          </w:p>
          <w:p>
            <w:pPr>
              <w:pStyle w:val="null3"/>
              <w:jc w:val="both"/>
            </w:pPr>
            <w:r>
              <w:rPr>
                <w:rFonts w:ascii="仿宋_GB2312" w:hAnsi="仿宋_GB2312" w:cs="仿宋_GB2312" w:eastAsia="仿宋_GB2312"/>
              </w:rPr>
              <w:t>5.5.治疗时间：≥5档。</w:t>
            </w:r>
          </w:p>
          <w:p>
            <w:pPr>
              <w:pStyle w:val="null3"/>
              <w:jc w:val="both"/>
            </w:pPr>
            <w:r>
              <w:rPr>
                <w:rFonts w:ascii="仿宋_GB2312" w:hAnsi="仿宋_GB2312" w:cs="仿宋_GB2312" w:eastAsia="仿宋_GB2312"/>
              </w:rPr>
              <w:t>5.6.连续工作≥4h。</w:t>
            </w:r>
          </w:p>
          <w:p>
            <w:pPr>
              <w:pStyle w:val="null3"/>
              <w:jc w:val="both"/>
            </w:pPr>
            <w:r>
              <w:rPr>
                <w:rFonts w:ascii="仿宋_GB2312" w:hAnsi="仿宋_GB2312" w:cs="仿宋_GB2312" w:eastAsia="仿宋_GB2312"/>
                <w:b/>
              </w:rPr>
              <w:t>6.电子生物反馈仪</w:t>
            </w:r>
          </w:p>
          <w:p>
            <w:pPr>
              <w:pStyle w:val="null3"/>
              <w:jc w:val="left"/>
            </w:pPr>
            <w:r>
              <w:rPr>
                <w:rFonts w:ascii="仿宋_GB2312" w:hAnsi="仿宋_GB2312" w:cs="仿宋_GB2312" w:eastAsia="仿宋_GB2312"/>
              </w:rPr>
              <w:t>6.1.符合国家食品药品监督管理总局发布的YY0903-2013《脑电生物反馈仪》、YY/T1095-2015《肌电生物反馈仪》标准。</w:t>
            </w:r>
          </w:p>
          <w:p>
            <w:pPr>
              <w:pStyle w:val="null3"/>
              <w:jc w:val="left"/>
            </w:pPr>
            <w:r>
              <w:rPr>
                <w:rFonts w:ascii="仿宋_GB2312" w:hAnsi="仿宋_GB2312" w:cs="仿宋_GB2312" w:eastAsia="仿宋_GB2312"/>
              </w:rPr>
              <w:t>▲6.2.设备包含评估、治疗功能模块。治疗终端≥4个，可实现患者档案多端同步。</w:t>
            </w:r>
          </w:p>
          <w:p>
            <w:pPr>
              <w:pStyle w:val="null3"/>
              <w:jc w:val="left"/>
            </w:pPr>
            <w:r>
              <w:rPr>
                <w:rFonts w:ascii="仿宋_GB2312" w:hAnsi="仿宋_GB2312" w:cs="仿宋_GB2312" w:eastAsia="仿宋_GB2312"/>
              </w:rPr>
              <w:t>▲6.3.评估模块适用于儿童心理问题与注意力问题的辅助诊断，包括视听整合连续测试IVA-CPT及常用儿童心理健康量表。</w:t>
            </w:r>
          </w:p>
          <w:p>
            <w:pPr>
              <w:pStyle w:val="null3"/>
              <w:jc w:val="left"/>
            </w:pPr>
            <w:r>
              <w:rPr>
                <w:rFonts w:ascii="仿宋_GB2312" w:hAnsi="仿宋_GB2312" w:cs="仿宋_GB2312" w:eastAsia="仿宋_GB2312"/>
              </w:rPr>
              <w:t>6.4.生物反馈仪信号采集器</w:t>
            </w:r>
          </w:p>
          <w:p>
            <w:pPr>
              <w:pStyle w:val="null3"/>
              <w:jc w:val="left"/>
            </w:pPr>
            <w:r>
              <w:rPr>
                <w:rFonts w:ascii="仿宋_GB2312" w:hAnsi="仿宋_GB2312" w:cs="仿宋_GB2312" w:eastAsia="仿宋_GB2312"/>
              </w:rPr>
              <w:t>▲6.4.1.具有无线传感器。</w:t>
            </w:r>
          </w:p>
          <w:p>
            <w:pPr>
              <w:pStyle w:val="null3"/>
              <w:jc w:val="left"/>
            </w:pPr>
            <w:r>
              <w:rPr>
                <w:rFonts w:ascii="仿宋_GB2312" w:hAnsi="仿宋_GB2312" w:cs="仿宋_GB2312" w:eastAsia="仿宋_GB2312"/>
              </w:rPr>
              <w:t>6.4.2.实时采集脑电、肌电等生理信号，AD采样位数≥24bit，AD采样率≥2000Hz。</w:t>
            </w:r>
          </w:p>
          <w:p>
            <w:pPr>
              <w:pStyle w:val="null3"/>
              <w:jc w:val="left"/>
            </w:pPr>
            <w:r>
              <w:rPr>
                <w:rFonts w:ascii="仿宋_GB2312" w:hAnsi="仿宋_GB2312" w:cs="仿宋_GB2312" w:eastAsia="仿宋_GB2312"/>
              </w:rPr>
              <w:t>6.4.3.脑电信号共模抑制比：各通道≥100dB，噪声电平：≤2μV。</w:t>
            </w:r>
          </w:p>
          <w:p>
            <w:pPr>
              <w:pStyle w:val="null3"/>
              <w:jc w:val="left"/>
            </w:pPr>
            <w:r>
              <w:rPr>
                <w:rFonts w:ascii="仿宋_GB2312" w:hAnsi="仿宋_GB2312" w:cs="仿宋_GB2312" w:eastAsia="仿宋_GB2312"/>
              </w:rPr>
              <w:t>6.4.4具有信号采集状态指示，可随患者状态呈现不同颜色信号。</w:t>
            </w:r>
          </w:p>
          <w:p>
            <w:pPr>
              <w:pStyle w:val="null3"/>
              <w:jc w:val="left"/>
            </w:pPr>
            <w:r>
              <w:rPr>
                <w:rFonts w:ascii="仿宋_GB2312" w:hAnsi="仿宋_GB2312" w:cs="仿宋_GB2312" w:eastAsia="仿宋_GB2312"/>
              </w:rPr>
              <w:t>6.5.治疗方案</w:t>
            </w:r>
          </w:p>
          <w:p>
            <w:pPr>
              <w:pStyle w:val="null3"/>
              <w:jc w:val="left"/>
            </w:pPr>
            <w:r>
              <w:rPr>
                <w:rFonts w:ascii="仿宋_GB2312" w:hAnsi="仿宋_GB2312" w:cs="仿宋_GB2312" w:eastAsia="仿宋_GB2312"/>
              </w:rPr>
              <w:t>6.5.1可进行放松治疗（音乐治疗、暗示治疗、松弛治疗、呼吸治疗）、注意力治疗、注意力训练等。</w:t>
            </w:r>
          </w:p>
          <w:p>
            <w:pPr>
              <w:pStyle w:val="null3"/>
              <w:jc w:val="left"/>
            </w:pPr>
            <w:r>
              <w:rPr>
                <w:rFonts w:ascii="仿宋_GB2312" w:hAnsi="仿宋_GB2312" w:cs="仿宋_GB2312" w:eastAsia="仿宋_GB2312"/>
              </w:rPr>
              <w:t>6.5.2脑电参数可进行单独反馈，生成不同疾病/亚型个体化脑电生物反馈治疗方案。</w:t>
            </w:r>
          </w:p>
          <w:p>
            <w:pPr>
              <w:pStyle w:val="null3"/>
              <w:jc w:val="both"/>
            </w:pPr>
            <w:r>
              <w:rPr>
                <w:rFonts w:ascii="仿宋_GB2312" w:hAnsi="仿宋_GB2312" w:cs="仿宋_GB2312" w:eastAsia="仿宋_GB2312"/>
                <w:b/>
              </w:rPr>
              <w:t>7.X射线骨龄仪</w:t>
            </w:r>
          </w:p>
          <w:p>
            <w:pPr>
              <w:pStyle w:val="null3"/>
              <w:jc w:val="left"/>
            </w:pPr>
            <w:r>
              <w:rPr>
                <w:rFonts w:ascii="仿宋_GB2312" w:hAnsi="仿宋_GB2312" w:cs="仿宋_GB2312" w:eastAsia="仿宋_GB2312"/>
              </w:rPr>
              <w:t>▲7.1.具备骨龄检测功能和双能X线骨密度检测功能。骨龄检测功能可对2-18 岁儿童人手腕部位的骨龄进行测量。双能X线骨密度检测功能可对 3-85 岁人群前臂部位的骨密度进行测量。骨密度、骨龄可一次成像并出具检测报告。</w:t>
            </w:r>
          </w:p>
          <w:p>
            <w:pPr>
              <w:pStyle w:val="null3"/>
              <w:jc w:val="both"/>
            </w:pPr>
            <w:r>
              <w:rPr>
                <w:rFonts w:ascii="仿宋_GB2312" w:hAnsi="仿宋_GB2312" w:cs="仿宋_GB2312" w:eastAsia="仿宋_GB2312"/>
              </w:rPr>
              <w:t>7.2.符合医疗机构辐射防护要求，设备有X射线屏蔽外壳，在正常曝光时，距离设备表面10 cm处，辐射剂量当量 ≤ 1 μSv/h。</w:t>
            </w:r>
          </w:p>
          <w:p>
            <w:pPr>
              <w:pStyle w:val="null3"/>
              <w:jc w:val="left"/>
            </w:pPr>
            <w:r>
              <w:rPr>
                <w:rFonts w:ascii="仿宋_GB2312" w:hAnsi="仿宋_GB2312" w:cs="仿宋_GB2312" w:eastAsia="仿宋_GB2312"/>
              </w:rPr>
              <w:t>7.3.双能曝光方式。管电压范围：低能：40 kV～45 kV，高能：68 kV～70 kV，步长为1 kV可调。</w:t>
            </w:r>
          </w:p>
          <w:p>
            <w:pPr>
              <w:pStyle w:val="null3"/>
              <w:jc w:val="both"/>
            </w:pPr>
            <w:r>
              <w:rPr>
                <w:rFonts w:ascii="仿宋_GB2312" w:hAnsi="仿宋_GB2312" w:cs="仿宋_GB2312" w:eastAsia="仿宋_GB2312"/>
              </w:rPr>
              <w:t>7.4.调节范围：低能：0.2 s～1 s；高能：0.1 s～1 s；调节方式：分档可调。</w:t>
            </w:r>
          </w:p>
          <w:p>
            <w:pPr>
              <w:pStyle w:val="null3"/>
              <w:jc w:val="both"/>
            </w:pPr>
            <w:r>
              <w:rPr>
                <w:rFonts w:ascii="仿宋_GB2312" w:hAnsi="仿宋_GB2312" w:cs="仿宋_GB2312" w:eastAsia="仿宋_GB2312"/>
              </w:rPr>
              <w:t>7.5.骨龄骨密度仪具有防过载功能。</w:t>
            </w:r>
          </w:p>
          <w:p>
            <w:pPr>
              <w:pStyle w:val="null3"/>
              <w:jc w:val="both"/>
            </w:pPr>
            <w:r>
              <w:rPr>
                <w:rFonts w:ascii="仿宋_GB2312" w:hAnsi="仿宋_GB2312" w:cs="仿宋_GB2312" w:eastAsia="仿宋_GB2312"/>
              </w:rPr>
              <w:t>7.6.具有铅玻璃观察窗。</w:t>
            </w:r>
          </w:p>
          <w:p>
            <w:pPr>
              <w:pStyle w:val="null3"/>
              <w:jc w:val="both"/>
            </w:pPr>
            <w:r>
              <w:rPr>
                <w:rFonts w:ascii="仿宋_GB2312" w:hAnsi="仿宋_GB2312" w:cs="仿宋_GB2312" w:eastAsia="仿宋_GB2312"/>
              </w:rPr>
              <w:t>7.7. X线平板探测器</w:t>
            </w:r>
          </w:p>
          <w:p>
            <w:pPr>
              <w:pStyle w:val="null3"/>
              <w:jc w:val="both"/>
            </w:pPr>
            <w:r>
              <w:rPr>
                <w:rFonts w:ascii="仿宋_GB2312" w:hAnsi="仿宋_GB2312" w:cs="仿宋_GB2312" w:eastAsia="仿宋_GB2312"/>
              </w:rPr>
              <w:t>▲7.8. 空间分辨率：≥5.0 lp/mm。</w:t>
            </w:r>
          </w:p>
          <w:p>
            <w:pPr>
              <w:pStyle w:val="null3"/>
              <w:jc w:val="both"/>
            </w:pPr>
            <w:r>
              <w:rPr>
                <w:rFonts w:ascii="仿宋_GB2312" w:hAnsi="仿宋_GB2312" w:cs="仿宋_GB2312" w:eastAsia="仿宋_GB2312"/>
              </w:rPr>
              <w:t>7.9. 低对比度分辨率：≤2.5%。</w:t>
            </w:r>
          </w:p>
          <w:p>
            <w:pPr>
              <w:pStyle w:val="null3"/>
              <w:jc w:val="both"/>
            </w:pPr>
            <w:r>
              <w:rPr>
                <w:rFonts w:ascii="仿宋_GB2312" w:hAnsi="仿宋_GB2312" w:cs="仿宋_GB2312" w:eastAsia="仿宋_GB2312"/>
              </w:rPr>
              <w:t>7.10. 影像均匀性：影像规定采样点的灰度值标准差R与规定采样点的灰度值均值V</w:t>
            </w:r>
            <w:r>
              <w:rPr>
                <w:rFonts w:ascii="仿宋_GB2312" w:hAnsi="仿宋_GB2312" w:cs="仿宋_GB2312" w:eastAsia="仿宋_GB2312"/>
                <w:vertAlign w:val="subscript"/>
              </w:rPr>
              <w:t>m</w:t>
            </w:r>
            <w:r>
              <w:rPr>
                <w:rFonts w:ascii="仿宋_GB2312" w:hAnsi="仿宋_GB2312" w:cs="仿宋_GB2312" w:eastAsia="仿宋_GB2312"/>
              </w:rPr>
              <w:t>之比≤2.5%。</w:t>
            </w:r>
          </w:p>
          <w:p>
            <w:pPr>
              <w:pStyle w:val="null3"/>
              <w:jc w:val="both"/>
            </w:pPr>
            <w:r>
              <w:rPr>
                <w:rFonts w:ascii="仿宋_GB2312" w:hAnsi="仿宋_GB2312" w:cs="仿宋_GB2312" w:eastAsia="仿宋_GB2312"/>
              </w:rPr>
              <w:t>7.11.有效成像区域 ≥230 mm*290 mm。</w:t>
            </w:r>
          </w:p>
          <w:p>
            <w:pPr>
              <w:pStyle w:val="null3"/>
              <w:jc w:val="both"/>
            </w:pPr>
            <w:r>
              <w:rPr>
                <w:rFonts w:ascii="仿宋_GB2312" w:hAnsi="仿宋_GB2312" w:cs="仿宋_GB2312" w:eastAsia="仿宋_GB2312"/>
              </w:rPr>
              <w:t>7.12.数字X射线平板探测器采用卡片式非晶硅碘化铯超高清平板探测器，像素尺寸：≤110μm。</w:t>
            </w:r>
          </w:p>
          <w:p>
            <w:pPr>
              <w:pStyle w:val="null3"/>
              <w:jc w:val="both"/>
            </w:pPr>
            <w:r>
              <w:rPr>
                <w:rFonts w:ascii="仿宋_GB2312" w:hAnsi="仿宋_GB2312" w:cs="仿宋_GB2312" w:eastAsia="仿宋_GB2312"/>
              </w:rPr>
              <w:t>7.13.具有剂量面积乘积显示功能，且显示的剂量面积乘积与测量值的误差 ≤±35%。</w:t>
            </w:r>
          </w:p>
          <w:p>
            <w:pPr>
              <w:pStyle w:val="null3"/>
              <w:jc w:val="both"/>
            </w:pPr>
            <w:r>
              <w:rPr>
                <w:rFonts w:ascii="仿宋_GB2312" w:hAnsi="仿宋_GB2312" w:cs="仿宋_GB2312" w:eastAsia="仿宋_GB2312"/>
              </w:rPr>
              <w:t>7.14.支撑患者的台板其X射线衰减当量 ≤ 0.5mmAl。</w:t>
            </w:r>
          </w:p>
          <w:p>
            <w:pPr>
              <w:pStyle w:val="null3"/>
              <w:jc w:val="both"/>
            </w:pPr>
            <w:r>
              <w:rPr>
                <w:rFonts w:ascii="仿宋_GB2312" w:hAnsi="仿宋_GB2312" w:cs="仿宋_GB2312" w:eastAsia="仿宋_GB2312"/>
              </w:rPr>
              <w:t>7.15.影像存储和传输功能：影像应可以无损传输至PACS影像系统。</w:t>
            </w:r>
          </w:p>
          <w:p>
            <w:pPr>
              <w:pStyle w:val="null3"/>
              <w:jc w:val="both"/>
            </w:pPr>
            <w:r>
              <w:rPr>
                <w:rFonts w:ascii="仿宋_GB2312" w:hAnsi="仿宋_GB2312" w:cs="仿宋_GB2312" w:eastAsia="仿宋_GB2312"/>
              </w:rPr>
              <w:t>7.16.成像时间≤7s。</w:t>
            </w:r>
          </w:p>
          <w:p>
            <w:pPr>
              <w:pStyle w:val="null3"/>
              <w:jc w:val="both"/>
            </w:pPr>
            <w:r>
              <w:rPr>
                <w:rFonts w:ascii="仿宋_GB2312" w:hAnsi="仿宋_GB2312" w:cs="仿宋_GB2312" w:eastAsia="仿宋_GB2312"/>
              </w:rPr>
              <w:t>7.17.骨密度功能。</w:t>
            </w:r>
          </w:p>
          <w:p>
            <w:pPr>
              <w:pStyle w:val="null3"/>
              <w:jc w:val="both"/>
            </w:pPr>
            <w:r>
              <w:rPr>
                <w:rFonts w:ascii="仿宋_GB2312" w:hAnsi="仿宋_GB2312" w:cs="仿宋_GB2312" w:eastAsia="仿宋_GB2312"/>
              </w:rPr>
              <w:t>7.17.1.骨密度准确度偏差：≤±5%。</w:t>
            </w:r>
          </w:p>
          <w:p>
            <w:pPr>
              <w:pStyle w:val="null3"/>
              <w:jc w:val="both"/>
            </w:pPr>
            <w:r>
              <w:rPr>
                <w:rFonts w:ascii="仿宋_GB2312" w:hAnsi="仿宋_GB2312" w:cs="仿宋_GB2312" w:eastAsia="仿宋_GB2312"/>
              </w:rPr>
              <w:t>7.17.2.骨密度重复性变异系数：≤3%。</w:t>
            </w:r>
          </w:p>
          <w:p>
            <w:pPr>
              <w:pStyle w:val="null3"/>
              <w:jc w:val="both"/>
            </w:pPr>
            <w:r>
              <w:rPr>
                <w:rFonts w:ascii="仿宋_GB2312" w:hAnsi="仿宋_GB2312" w:cs="仿宋_GB2312" w:eastAsia="仿宋_GB2312"/>
              </w:rPr>
              <w:t>7.18.辐射防护：具备X射线屏蔽外壳，设备在正常曝光时，在距离设备表面10 cm处，辐射剂量当量≤1 μSv/h。</w:t>
            </w:r>
          </w:p>
          <w:p>
            <w:pPr>
              <w:pStyle w:val="null3"/>
              <w:jc w:val="both"/>
            </w:pPr>
            <w:r>
              <w:rPr>
                <w:rFonts w:ascii="仿宋_GB2312" w:hAnsi="仿宋_GB2312" w:cs="仿宋_GB2312" w:eastAsia="仿宋_GB2312"/>
              </w:rPr>
              <w:t>7.19.配备有线曝光开关。</w:t>
            </w:r>
          </w:p>
          <w:p>
            <w:pPr>
              <w:pStyle w:val="null3"/>
              <w:jc w:val="both"/>
            </w:pPr>
            <w:r>
              <w:rPr>
                <w:rFonts w:ascii="仿宋_GB2312" w:hAnsi="仿宋_GB2312" w:cs="仿宋_GB2312" w:eastAsia="仿宋_GB2312"/>
              </w:rPr>
              <w:t>7.20. 配备移动台车。</w:t>
            </w:r>
          </w:p>
          <w:p>
            <w:pPr>
              <w:pStyle w:val="null3"/>
              <w:jc w:val="both"/>
            </w:pPr>
            <w:r>
              <w:rPr>
                <w:rFonts w:ascii="仿宋_GB2312" w:hAnsi="仿宋_GB2312" w:cs="仿宋_GB2312" w:eastAsia="仿宋_GB2312"/>
              </w:rPr>
              <w:t>7.21.网络安全：通过 USB 接口按照 USB 3.0 协议进行数据的存储和导出。通过 RJ45 接口按照 DICOM 3.0 协议进行数据通讯。</w:t>
            </w:r>
          </w:p>
          <w:p>
            <w:pPr>
              <w:pStyle w:val="null3"/>
              <w:jc w:val="both"/>
            </w:pPr>
            <w:r>
              <w:rPr>
                <w:rFonts w:ascii="仿宋_GB2312" w:hAnsi="仿宋_GB2312" w:cs="仿宋_GB2312" w:eastAsia="仿宋_GB2312"/>
              </w:rPr>
              <w:t>7.22.软件功能</w:t>
            </w:r>
          </w:p>
          <w:p>
            <w:pPr>
              <w:pStyle w:val="null3"/>
              <w:jc w:val="both"/>
            </w:pPr>
            <w:r>
              <w:rPr>
                <w:rFonts w:ascii="仿宋_GB2312" w:hAnsi="仿宋_GB2312" w:cs="仿宋_GB2312" w:eastAsia="仿宋_GB2312"/>
              </w:rPr>
              <w:t>▲7.22.1.内置骨龄专业的拍片系统，设备开机之后，输入登录密码，可直接进入专业骨龄拍摄界面，实现骨龄拍片-图像处理-骨龄评估-报告一体化。</w:t>
            </w:r>
          </w:p>
          <w:p>
            <w:pPr>
              <w:pStyle w:val="null3"/>
              <w:jc w:val="both"/>
            </w:pPr>
            <w:r>
              <w:rPr>
                <w:rFonts w:ascii="仿宋_GB2312" w:hAnsi="仿宋_GB2312" w:cs="仿宋_GB2312" w:eastAsia="仿宋_GB2312"/>
              </w:rPr>
              <w:t>7.22.2辅助摆位功能：可以通过有线连接实时调用设备内部摄像头，具备智能摆位实时监控及手部定位系统，观察被检查者的手部和腕部摆位。</w:t>
            </w:r>
          </w:p>
          <w:p>
            <w:pPr>
              <w:pStyle w:val="null3"/>
              <w:jc w:val="both"/>
            </w:pPr>
            <w:r>
              <w:rPr>
                <w:rFonts w:ascii="仿宋_GB2312" w:hAnsi="仿宋_GB2312" w:cs="仿宋_GB2312" w:eastAsia="仿宋_GB2312"/>
              </w:rPr>
              <w:t>7.22.3软件具备权限管理、患者登记、图像采集、图像处理、胶片打印、备份、导出图像等基础功能。</w:t>
            </w:r>
          </w:p>
          <w:p>
            <w:pPr>
              <w:pStyle w:val="null3"/>
              <w:jc w:val="both"/>
            </w:pPr>
            <w:r>
              <w:rPr>
                <w:rFonts w:ascii="仿宋_GB2312" w:hAnsi="仿宋_GB2312" w:cs="仿宋_GB2312" w:eastAsia="仿宋_GB2312"/>
              </w:rPr>
              <w:t>7.22.4影像阅片功能：产品应能完整显示被检查者的手腕骨轮廓，影像阅片应至少具备：影像移动、影像缩放、窗宽窗位调节、反色功能、影像旋转、放大镜功能。</w:t>
            </w:r>
          </w:p>
          <w:p>
            <w:pPr>
              <w:pStyle w:val="null3"/>
              <w:jc w:val="both"/>
            </w:pPr>
            <w:r>
              <w:rPr>
                <w:rFonts w:ascii="仿宋_GB2312" w:hAnsi="仿宋_GB2312" w:cs="仿宋_GB2312" w:eastAsia="仿宋_GB2312"/>
              </w:rPr>
              <w:t>7.22.5骨龄分析功能</w:t>
            </w:r>
          </w:p>
          <w:p>
            <w:pPr>
              <w:pStyle w:val="null3"/>
              <w:jc w:val="both"/>
            </w:pPr>
            <w:r>
              <w:rPr>
                <w:rFonts w:ascii="仿宋_GB2312" w:hAnsi="仿宋_GB2312" w:cs="仿宋_GB2312" w:eastAsia="仿宋_GB2312"/>
              </w:rPr>
              <w:t>7.22.6. 支持使用中华05标准法/TW3法对骨龄进行分析。</w:t>
            </w:r>
          </w:p>
          <w:p>
            <w:pPr>
              <w:pStyle w:val="null3"/>
              <w:jc w:val="both"/>
            </w:pPr>
            <w:r>
              <w:rPr>
                <w:rFonts w:ascii="仿宋_GB2312" w:hAnsi="仿宋_GB2312" w:cs="仿宋_GB2312" w:eastAsia="仿宋_GB2312"/>
              </w:rPr>
              <w:t>7.22.7.中华05标准法支持RUS-CHN（R系列）和TW3-C Carpal（C系列）评价方法，并出具显示RUS-CHN（R系列）和TW3-C Carpal（C系列）骨龄分析结果及影像所见。</w:t>
            </w:r>
          </w:p>
          <w:p>
            <w:pPr>
              <w:pStyle w:val="null3"/>
              <w:jc w:val="both"/>
            </w:pPr>
            <w:r>
              <w:rPr>
                <w:rFonts w:ascii="仿宋_GB2312" w:hAnsi="仿宋_GB2312" w:cs="仿宋_GB2312" w:eastAsia="仿宋_GB2312"/>
              </w:rPr>
              <w:t>7.22.8. TW3法支持RUS（R系列）和C系列评价方法，并出具显示RUS（R系列）骨龄和C系列骨龄分析结果及影像所见。</w:t>
            </w:r>
          </w:p>
          <w:p>
            <w:pPr>
              <w:pStyle w:val="null3"/>
              <w:jc w:val="both"/>
            </w:pPr>
            <w:r>
              <w:rPr>
                <w:rFonts w:ascii="仿宋_GB2312" w:hAnsi="仿宋_GB2312" w:cs="仿宋_GB2312" w:eastAsia="仿宋_GB2312"/>
              </w:rPr>
              <w:t>7.22.9. 骨密度报告功能：应提供测试结果所有页面的副本。测试结果既可展示在显示器上亦可以硬质副本形式打印出来。测量值与计算值应包括，骨密度（BMD）、Area、T-值、Z-值。</w:t>
            </w:r>
          </w:p>
          <w:p>
            <w:pPr>
              <w:pStyle w:val="null3"/>
              <w:jc w:val="both"/>
            </w:pPr>
            <w:r>
              <w:rPr>
                <w:rFonts w:ascii="仿宋_GB2312" w:hAnsi="仿宋_GB2312" w:cs="仿宋_GB2312" w:eastAsia="仿宋_GB2312"/>
              </w:rPr>
              <w:t>7.22.10.骨龄报告功能：应支持依据骨龄评测标准，自动生成报告，报告至少包括骨骺等级和骨龄等信息。</w:t>
            </w:r>
          </w:p>
          <w:p>
            <w:pPr>
              <w:pStyle w:val="null3"/>
              <w:jc w:val="both"/>
            </w:pPr>
            <w:r>
              <w:rPr>
                <w:rFonts w:ascii="仿宋_GB2312" w:hAnsi="仿宋_GB2312" w:cs="仿宋_GB2312" w:eastAsia="仿宋_GB2312"/>
                <w:b/>
              </w:rPr>
              <w:t>8.学习能力评估干预系统</w:t>
            </w:r>
          </w:p>
          <w:p>
            <w:pPr>
              <w:pStyle w:val="null3"/>
              <w:jc w:val="both"/>
            </w:pPr>
            <w:r>
              <w:rPr>
                <w:rFonts w:ascii="仿宋_GB2312" w:hAnsi="仿宋_GB2312" w:cs="仿宋_GB2312" w:eastAsia="仿宋_GB2312"/>
              </w:rPr>
              <w:t>8.1.硬件需求：≥i5双核、主频≥3.2GHZ。</w:t>
            </w:r>
          </w:p>
          <w:p>
            <w:pPr>
              <w:pStyle w:val="null3"/>
              <w:jc w:val="both"/>
            </w:pPr>
            <w:r>
              <w:rPr>
                <w:rFonts w:ascii="仿宋_GB2312" w:hAnsi="仿宋_GB2312" w:cs="仿宋_GB2312" w:eastAsia="仿宋_GB2312"/>
              </w:rPr>
              <w:t>8.2.脑波采集设备：</w:t>
            </w:r>
          </w:p>
          <w:p>
            <w:pPr>
              <w:pStyle w:val="null3"/>
              <w:jc w:val="both"/>
            </w:pPr>
            <w:r>
              <w:rPr>
                <w:rFonts w:ascii="仿宋_GB2312" w:hAnsi="仿宋_GB2312" w:cs="仿宋_GB2312" w:eastAsia="仿宋_GB2312"/>
              </w:rPr>
              <w:t>8.2.1.佩戴方式：头戴式。</w:t>
            </w:r>
          </w:p>
          <w:p>
            <w:pPr>
              <w:pStyle w:val="null3"/>
              <w:jc w:val="both"/>
            </w:pPr>
            <w:r>
              <w:rPr>
                <w:rFonts w:ascii="仿宋_GB2312" w:hAnsi="仿宋_GB2312" w:cs="仿宋_GB2312" w:eastAsia="仿宋_GB2312"/>
              </w:rPr>
              <w:t>8.2.2.传输方式：无线传输。</w:t>
            </w:r>
          </w:p>
          <w:p>
            <w:pPr>
              <w:pStyle w:val="null3"/>
              <w:jc w:val="both"/>
            </w:pPr>
            <w:r>
              <w:rPr>
                <w:rFonts w:ascii="仿宋_GB2312" w:hAnsi="仿宋_GB2312" w:cs="仿宋_GB2312" w:eastAsia="仿宋_GB2312"/>
              </w:rPr>
              <w:t>8.2.3.能够采集≥8种脑波，包含α波、β波、γ波、θ波、δ波，并可根据采集的数据生成专注度、放松度指数等。</w:t>
            </w:r>
          </w:p>
          <w:p>
            <w:pPr>
              <w:pStyle w:val="null3"/>
              <w:jc w:val="both"/>
            </w:pPr>
            <w:r>
              <w:rPr>
                <w:rFonts w:ascii="仿宋_GB2312" w:hAnsi="仿宋_GB2312" w:cs="仿宋_GB2312" w:eastAsia="仿宋_GB2312"/>
              </w:rPr>
              <w:t>8.3.软件功能：</w:t>
            </w:r>
          </w:p>
          <w:p>
            <w:pPr>
              <w:pStyle w:val="null3"/>
              <w:jc w:val="both"/>
            </w:pPr>
            <w:r>
              <w:rPr>
                <w:rFonts w:ascii="仿宋_GB2312" w:hAnsi="仿宋_GB2312" w:cs="仿宋_GB2312" w:eastAsia="仿宋_GB2312"/>
              </w:rPr>
              <w:t>8.3.1. 可检测5-16岁儿童的注意力状况并进行相对应的训练。</w:t>
            </w:r>
          </w:p>
          <w:p>
            <w:pPr>
              <w:pStyle w:val="null3"/>
              <w:jc w:val="both"/>
            </w:pPr>
            <w:r>
              <w:rPr>
                <w:rFonts w:ascii="仿宋_GB2312" w:hAnsi="仿宋_GB2312" w:cs="仿宋_GB2312" w:eastAsia="仿宋_GB2312"/>
              </w:rPr>
              <w:t>8.3.2. C/S 架构，系统包括学习困难心理筛查测评量表、注意力测评、注意力训练、档案管理等模块，可触屏完成所有测验或训练。</w:t>
            </w:r>
          </w:p>
          <w:p>
            <w:pPr>
              <w:pStyle w:val="null3"/>
              <w:jc w:val="both"/>
            </w:pPr>
            <w:r>
              <w:rPr>
                <w:rFonts w:ascii="仿宋_GB2312" w:hAnsi="仿宋_GB2312" w:cs="仿宋_GB2312" w:eastAsia="仿宋_GB2312"/>
              </w:rPr>
              <w:t>8.3.3.可通过图形辨别、选四圈、视觉追踪、加减法等测验，测评儿童的注意力分配、广度、稳定性、转移四个基本品质。</w:t>
            </w:r>
          </w:p>
          <w:p>
            <w:pPr>
              <w:pStyle w:val="null3"/>
              <w:jc w:val="both"/>
            </w:pPr>
            <w:r>
              <w:rPr>
                <w:rFonts w:ascii="仿宋_GB2312" w:hAnsi="仿宋_GB2312" w:cs="仿宋_GB2312" w:eastAsia="仿宋_GB2312"/>
              </w:rPr>
              <w:t>▲8.3.4.康复训练项目≥6个，难度等级可调。系统可根据注意力测评结果自动解锁各个训练项目的对应难度等级进行训练，同时通过脑波采集仪能实时监控记录训练过程中的脑电变化数据。</w:t>
            </w:r>
          </w:p>
          <w:p>
            <w:pPr>
              <w:pStyle w:val="null3"/>
              <w:jc w:val="both"/>
            </w:pPr>
            <w:r>
              <w:rPr>
                <w:rFonts w:ascii="仿宋_GB2312" w:hAnsi="仿宋_GB2312" w:cs="仿宋_GB2312" w:eastAsia="仿宋_GB2312"/>
              </w:rPr>
              <w:t>8.3.5.可完整保存历次测评和训练的结果及相应指导建议，记录训练过程中脑波采集仪采集的专注度、放松度数据。注意力测评报告包含测评过程的行为轨迹图，并呈现注意力四项品质的单项得分、总分及排名情况。</w:t>
            </w:r>
          </w:p>
          <w:p>
            <w:pPr>
              <w:pStyle w:val="null3"/>
              <w:jc w:val="both"/>
            </w:pPr>
            <w:r>
              <w:rPr>
                <w:rFonts w:ascii="仿宋_GB2312" w:hAnsi="仿宋_GB2312" w:cs="仿宋_GB2312" w:eastAsia="仿宋_GB2312"/>
              </w:rPr>
              <w:t>8.3.6.可在管理端进行单个/批量学员的信息管理。个人档案页面可以查看到学员的上机情况，测评数据以及训练情况。</w:t>
            </w:r>
          </w:p>
          <w:p>
            <w:pPr>
              <w:pStyle w:val="null3"/>
              <w:jc w:val="both"/>
            </w:pPr>
            <w:r>
              <w:rPr>
                <w:rFonts w:ascii="仿宋_GB2312" w:hAnsi="仿宋_GB2312" w:cs="仿宋_GB2312" w:eastAsia="仿宋_GB2312"/>
              </w:rPr>
              <w:t>8.4.学习困难心理筛查测评。</w:t>
            </w:r>
          </w:p>
          <w:p>
            <w:pPr>
              <w:pStyle w:val="null3"/>
              <w:jc w:val="both"/>
            </w:pPr>
            <w:r>
              <w:rPr>
                <w:rFonts w:ascii="仿宋_GB2312" w:hAnsi="仿宋_GB2312" w:cs="仿宋_GB2312" w:eastAsia="仿宋_GB2312"/>
              </w:rPr>
              <w:t>8.4.1.儿童行为测评</w:t>
            </w:r>
          </w:p>
          <w:p>
            <w:pPr>
              <w:pStyle w:val="null3"/>
              <w:jc w:val="both"/>
            </w:pPr>
            <w:r>
              <w:rPr>
                <w:rFonts w:ascii="仿宋_GB2312" w:hAnsi="仿宋_GB2312" w:cs="仿宋_GB2312" w:eastAsia="仿宋_GB2312"/>
              </w:rPr>
              <w:t>1)SNAP-Ⅳ评定量表。</w:t>
            </w:r>
          </w:p>
          <w:p>
            <w:pPr>
              <w:pStyle w:val="null3"/>
              <w:jc w:val="both"/>
            </w:pPr>
            <w:r>
              <w:rPr>
                <w:rFonts w:ascii="仿宋_GB2312" w:hAnsi="仿宋_GB2312" w:cs="仿宋_GB2312" w:eastAsia="仿宋_GB2312"/>
              </w:rPr>
              <w:t>2)Conners父母症状问卷。</w:t>
            </w:r>
          </w:p>
          <w:p>
            <w:pPr>
              <w:pStyle w:val="null3"/>
              <w:jc w:val="both"/>
            </w:pPr>
            <w:r>
              <w:rPr>
                <w:rFonts w:ascii="仿宋_GB2312" w:hAnsi="仿宋_GB2312" w:cs="仿宋_GB2312" w:eastAsia="仿宋_GB2312"/>
              </w:rPr>
              <w:t>3)Conners教师评定问卷。</w:t>
            </w:r>
          </w:p>
          <w:p>
            <w:pPr>
              <w:pStyle w:val="null3"/>
              <w:jc w:val="both"/>
            </w:pPr>
            <w:r>
              <w:rPr>
                <w:rFonts w:ascii="仿宋_GB2312" w:hAnsi="仿宋_GB2312" w:cs="仿宋_GB2312" w:eastAsia="仿宋_GB2312"/>
              </w:rPr>
              <w:t>4)Achenbach儿童行为量表。</w:t>
            </w:r>
          </w:p>
          <w:p>
            <w:pPr>
              <w:pStyle w:val="null3"/>
              <w:jc w:val="both"/>
            </w:pPr>
            <w:r>
              <w:rPr>
                <w:rFonts w:ascii="仿宋_GB2312" w:hAnsi="仿宋_GB2312" w:cs="仿宋_GB2312" w:eastAsia="仿宋_GB2312"/>
              </w:rPr>
              <w:t>5)Rutter儿童行为问卷。</w:t>
            </w:r>
          </w:p>
          <w:p>
            <w:pPr>
              <w:pStyle w:val="null3"/>
              <w:jc w:val="both"/>
            </w:pPr>
            <w:r>
              <w:rPr>
                <w:rFonts w:ascii="仿宋_GB2312" w:hAnsi="仿宋_GB2312" w:cs="仿宋_GB2312" w:eastAsia="仿宋_GB2312"/>
              </w:rPr>
              <w:t>6)长处和困难问卷。</w:t>
            </w:r>
          </w:p>
          <w:p>
            <w:pPr>
              <w:pStyle w:val="null3"/>
              <w:jc w:val="both"/>
            </w:pPr>
            <w:r>
              <w:rPr>
                <w:rFonts w:ascii="仿宋_GB2312" w:hAnsi="仿宋_GB2312" w:cs="仿宋_GB2312" w:eastAsia="仿宋_GB2312"/>
              </w:rPr>
              <w:t>7)儿童困难问卷。</w:t>
            </w:r>
          </w:p>
          <w:p>
            <w:pPr>
              <w:pStyle w:val="null3"/>
              <w:jc w:val="both"/>
            </w:pPr>
            <w:r>
              <w:rPr>
                <w:rFonts w:ascii="仿宋_GB2312" w:hAnsi="仿宋_GB2312" w:cs="仿宋_GB2312" w:eastAsia="仿宋_GB2312"/>
              </w:rPr>
              <w:t>8)Vanderbilt ADHD诊断评定量表-父母版。</w:t>
            </w:r>
          </w:p>
          <w:p>
            <w:pPr>
              <w:pStyle w:val="null3"/>
              <w:jc w:val="both"/>
            </w:pPr>
            <w:r>
              <w:rPr>
                <w:rFonts w:ascii="仿宋_GB2312" w:hAnsi="仿宋_GB2312" w:cs="仿宋_GB2312" w:eastAsia="仿宋_GB2312"/>
              </w:rPr>
              <w:t>9)Vanderbilt ADHD诊断评定量表-教师版。</w:t>
            </w:r>
          </w:p>
          <w:p>
            <w:pPr>
              <w:pStyle w:val="null3"/>
              <w:jc w:val="both"/>
            </w:pPr>
            <w:r>
              <w:rPr>
                <w:rFonts w:ascii="仿宋_GB2312" w:hAnsi="仿宋_GB2312" w:cs="仿宋_GB2312" w:eastAsia="仿宋_GB2312"/>
              </w:rPr>
              <w:t>8.4.2.人格</w:t>
            </w:r>
          </w:p>
          <w:p>
            <w:pPr>
              <w:pStyle w:val="null3"/>
              <w:jc w:val="both"/>
            </w:pPr>
            <w:r>
              <w:rPr>
                <w:rFonts w:ascii="仿宋_GB2312" w:hAnsi="仿宋_GB2312" w:cs="仿宋_GB2312" w:eastAsia="仿宋_GB2312"/>
              </w:rPr>
              <w:t>1)儿童自我意识量表。</w:t>
            </w:r>
          </w:p>
          <w:p>
            <w:pPr>
              <w:pStyle w:val="null3"/>
              <w:jc w:val="both"/>
            </w:pPr>
            <w:r>
              <w:rPr>
                <w:rFonts w:ascii="仿宋_GB2312" w:hAnsi="仿宋_GB2312" w:cs="仿宋_GB2312" w:eastAsia="仿宋_GB2312"/>
              </w:rPr>
              <w:t>2)艾森克个性问卷。</w:t>
            </w:r>
          </w:p>
          <w:p>
            <w:pPr>
              <w:pStyle w:val="null3"/>
              <w:jc w:val="both"/>
            </w:pPr>
            <w:r>
              <w:rPr>
                <w:rFonts w:ascii="仿宋_GB2312" w:hAnsi="仿宋_GB2312" w:cs="仿宋_GB2312" w:eastAsia="仿宋_GB2312"/>
              </w:rPr>
              <w:t>3)3-7岁儿童气质问卷。</w:t>
            </w:r>
          </w:p>
          <w:p>
            <w:pPr>
              <w:pStyle w:val="null3"/>
              <w:jc w:val="both"/>
            </w:pPr>
            <w:r>
              <w:rPr>
                <w:rFonts w:ascii="仿宋_GB2312" w:hAnsi="仿宋_GB2312" w:cs="仿宋_GB2312" w:eastAsia="仿宋_GB2312"/>
              </w:rPr>
              <w:t>8.4.3.社会功能</w:t>
            </w:r>
          </w:p>
          <w:p>
            <w:pPr>
              <w:pStyle w:val="null3"/>
              <w:jc w:val="both"/>
            </w:pPr>
            <w:r>
              <w:rPr>
                <w:rFonts w:ascii="仿宋_GB2312" w:hAnsi="仿宋_GB2312" w:cs="仿宋_GB2312" w:eastAsia="仿宋_GB2312"/>
              </w:rPr>
              <w:t>Weiss功能缺陷量表。</w:t>
            </w:r>
          </w:p>
          <w:p>
            <w:pPr>
              <w:pStyle w:val="null3"/>
              <w:jc w:val="both"/>
            </w:pPr>
            <w:r>
              <w:rPr>
                <w:rFonts w:ascii="仿宋_GB2312" w:hAnsi="仿宋_GB2312" w:cs="仿宋_GB2312" w:eastAsia="仿宋_GB2312"/>
              </w:rPr>
              <w:t>8.4.4情绪障碍</w:t>
            </w:r>
          </w:p>
          <w:p>
            <w:pPr>
              <w:pStyle w:val="null3"/>
              <w:jc w:val="both"/>
            </w:pPr>
            <w:r>
              <w:rPr>
                <w:rFonts w:ascii="仿宋_GB2312" w:hAnsi="仿宋_GB2312" w:cs="仿宋_GB2312" w:eastAsia="仿宋_GB2312"/>
              </w:rPr>
              <w:t>1)儿童焦虑性情绪障碍筛查表。</w:t>
            </w:r>
          </w:p>
          <w:p>
            <w:pPr>
              <w:pStyle w:val="null3"/>
              <w:jc w:val="both"/>
            </w:pPr>
            <w:r>
              <w:rPr>
                <w:rFonts w:ascii="仿宋_GB2312" w:hAnsi="仿宋_GB2312" w:cs="仿宋_GB2312" w:eastAsia="仿宋_GB2312"/>
              </w:rPr>
              <w:t>2)儿童抑郁障碍自评表。</w:t>
            </w:r>
          </w:p>
          <w:p>
            <w:pPr>
              <w:pStyle w:val="null3"/>
              <w:jc w:val="both"/>
            </w:pPr>
            <w:r>
              <w:rPr>
                <w:rFonts w:ascii="仿宋_GB2312" w:hAnsi="仿宋_GB2312" w:cs="仿宋_GB2312" w:eastAsia="仿宋_GB2312"/>
              </w:rPr>
              <w:t>8.4.5智力测验</w:t>
            </w:r>
          </w:p>
          <w:p>
            <w:pPr>
              <w:pStyle w:val="null3"/>
              <w:jc w:val="both"/>
            </w:pPr>
            <w:r>
              <w:rPr>
                <w:rFonts w:ascii="仿宋_GB2312" w:hAnsi="仿宋_GB2312" w:cs="仿宋_GB2312" w:eastAsia="仿宋_GB2312"/>
              </w:rPr>
              <w:t xml:space="preserve">1)瑞文标准推理测验。   </w:t>
            </w:r>
          </w:p>
          <w:p>
            <w:pPr>
              <w:pStyle w:val="null3"/>
              <w:jc w:val="both"/>
            </w:pPr>
            <w:r>
              <w:rPr>
                <w:rFonts w:ascii="仿宋_GB2312" w:hAnsi="仿宋_GB2312" w:cs="仿宋_GB2312" w:eastAsia="仿宋_GB2312"/>
              </w:rPr>
              <w:t>2)瑞文高级推理测验。</w:t>
            </w:r>
          </w:p>
          <w:p>
            <w:pPr>
              <w:pStyle w:val="null3"/>
              <w:jc w:val="both"/>
            </w:pPr>
            <w:r>
              <w:rPr>
                <w:rFonts w:ascii="仿宋_GB2312" w:hAnsi="仿宋_GB2312" w:cs="仿宋_GB2312" w:eastAsia="仿宋_GB2312"/>
                <w:b/>
              </w:rPr>
              <w:t>9.全自动蜡疗系统</w:t>
            </w:r>
          </w:p>
          <w:p>
            <w:pPr>
              <w:pStyle w:val="null3"/>
              <w:jc w:val="both"/>
            </w:pPr>
            <w:r>
              <w:rPr>
                <w:rFonts w:ascii="仿宋_GB2312" w:hAnsi="仿宋_GB2312" w:cs="仿宋_GB2312" w:eastAsia="仿宋_GB2312"/>
              </w:rPr>
              <w:t>9.1.为患者提供石蜡疗法和矿泥疗法。</w:t>
            </w:r>
          </w:p>
          <w:p>
            <w:pPr>
              <w:pStyle w:val="null3"/>
              <w:jc w:val="both"/>
            </w:pPr>
            <w:r>
              <w:rPr>
                <w:rFonts w:ascii="仿宋_GB2312" w:hAnsi="仿宋_GB2312" w:cs="仿宋_GB2312" w:eastAsia="仿宋_GB2312"/>
              </w:rPr>
              <w:t>9.2.由料箱、饼箱、搅拌装置、托盘、控制系统组成。</w:t>
            </w:r>
          </w:p>
          <w:p>
            <w:pPr>
              <w:pStyle w:val="null3"/>
              <w:jc w:val="both"/>
            </w:pPr>
            <w:r>
              <w:rPr>
                <w:rFonts w:ascii="仿宋_GB2312" w:hAnsi="仿宋_GB2312" w:cs="仿宋_GB2312" w:eastAsia="仿宋_GB2312"/>
              </w:rPr>
              <w:t>9.3.采用左右卧式结构，高度≤1.2米。</w:t>
            </w:r>
          </w:p>
          <w:p>
            <w:pPr>
              <w:pStyle w:val="null3"/>
              <w:jc w:val="both"/>
            </w:pPr>
            <w:r>
              <w:rPr>
                <w:rFonts w:ascii="仿宋_GB2312" w:hAnsi="仿宋_GB2312" w:cs="仿宋_GB2312" w:eastAsia="仿宋_GB2312"/>
              </w:rPr>
              <w:t>9.4. 2块液晶触摸屏≥10英寸。</w:t>
            </w:r>
          </w:p>
          <w:p>
            <w:pPr>
              <w:pStyle w:val="null3"/>
              <w:jc w:val="both"/>
            </w:pPr>
            <w:r>
              <w:rPr>
                <w:rFonts w:ascii="仿宋_GB2312" w:hAnsi="仿宋_GB2312" w:cs="仿宋_GB2312" w:eastAsia="仿宋_GB2312"/>
              </w:rPr>
              <w:t>▲9.5.具备双料箱（融蜡箱+融泥箱）、双饼箱（蜡饼箱+泥饼箱），可同时工作，也可以独立工作。</w:t>
            </w:r>
          </w:p>
          <w:p>
            <w:pPr>
              <w:pStyle w:val="null3"/>
              <w:jc w:val="both"/>
            </w:pPr>
            <w:r>
              <w:rPr>
                <w:rFonts w:ascii="仿宋_GB2312" w:hAnsi="仿宋_GB2312" w:cs="仿宋_GB2312" w:eastAsia="仿宋_GB2312"/>
              </w:rPr>
              <w:t>9.6.可自动实现融料、消毒、排料、制饼、恒温等操作。</w:t>
            </w:r>
          </w:p>
          <w:p>
            <w:pPr>
              <w:pStyle w:val="null3"/>
              <w:jc w:val="both"/>
            </w:pPr>
            <w:r>
              <w:rPr>
                <w:rFonts w:ascii="仿宋_GB2312" w:hAnsi="仿宋_GB2312" w:cs="仿宋_GB2312" w:eastAsia="仿宋_GB2312"/>
              </w:rPr>
              <w:t>9.7.制饼模式≥6种。</w:t>
            </w:r>
          </w:p>
          <w:p>
            <w:pPr>
              <w:pStyle w:val="null3"/>
              <w:jc w:val="both"/>
            </w:pPr>
            <w:r>
              <w:rPr>
                <w:rFonts w:ascii="仿宋_GB2312" w:hAnsi="仿宋_GB2312" w:cs="仿宋_GB2312" w:eastAsia="仿宋_GB2312"/>
              </w:rPr>
              <w:t>9.8.具有紫外线、高温二种消毒方式。</w:t>
            </w:r>
          </w:p>
          <w:p>
            <w:pPr>
              <w:pStyle w:val="null3"/>
              <w:jc w:val="both"/>
            </w:pPr>
            <w:r>
              <w:rPr>
                <w:rFonts w:ascii="仿宋_GB2312" w:hAnsi="仿宋_GB2312" w:cs="仿宋_GB2312" w:eastAsia="仿宋_GB2312"/>
              </w:rPr>
              <w:t>9.9.料箱和饼箱均有观察窗及LED照明系统。</w:t>
            </w:r>
          </w:p>
          <w:p>
            <w:pPr>
              <w:pStyle w:val="null3"/>
              <w:jc w:val="both"/>
            </w:pPr>
            <w:r>
              <w:rPr>
                <w:rFonts w:ascii="仿宋_GB2312" w:hAnsi="仿宋_GB2312" w:cs="仿宋_GB2312" w:eastAsia="仿宋_GB2312"/>
              </w:rPr>
              <w:t>9.10.料箱和饼箱均有开门检测功能，液晶屏上实时显示开关门状态。</w:t>
            </w:r>
          </w:p>
          <w:p>
            <w:pPr>
              <w:pStyle w:val="null3"/>
              <w:jc w:val="both"/>
            </w:pPr>
            <w:r>
              <w:rPr>
                <w:rFonts w:ascii="仿宋_GB2312" w:hAnsi="仿宋_GB2312" w:cs="仿宋_GB2312" w:eastAsia="仿宋_GB2312"/>
              </w:rPr>
              <w:t>9.11.料箱温控范围：60～95℃  温度精度±3℃。</w:t>
            </w:r>
          </w:p>
          <w:p>
            <w:pPr>
              <w:pStyle w:val="null3"/>
              <w:jc w:val="both"/>
            </w:pPr>
            <w:r>
              <w:rPr>
                <w:rFonts w:ascii="仿宋_GB2312" w:hAnsi="仿宋_GB2312" w:cs="仿宋_GB2312" w:eastAsia="仿宋_GB2312"/>
              </w:rPr>
              <w:t>9.12.饼箱温度范围：35～75℃  温度精度±3℃。</w:t>
            </w:r>
          </w:p>
          <w:p>
            <w:pPr>
              <w:pStyle w:val="null3"/>
              <w:jc w:val="both"/>
            </w:pPr>
            <w:r>
              <w:rPr>
                <w:rFonts w:ascii="仿宋_GB2312" w:hAnsi="仿宋_GB2312" w:cs="仿宋_GB2312" w:eastAsia="仿宋_GB2312"/>
              </w:rPr>
              <w:t>9.13.可同时制饼20盘（10盘蜡饼+10盘泥饼），1-5、1-10、1-15、1-20盘可选。</w:t>
            </w:r>
          </w:p>
          <w:p>
            <w:pPr>
              <w:pStyle w:val="null3"/>
              <w:jc w:val="both"/>
            </w:pPr>
            <w:r>
              <w:rPr>
                <w:rFonts w:ascii="仿宋_GB2312" w:hAnsi="仿宋_GB2312" w:cs="仿宋_GB2312" w:eastAsia="仿宋_GB2312"/>
              </w:rPr>
              <w:t>9.14.带刹车移动脚轮和可调式脚垫。</w:t>
            </w:r>
          </w:p>
          <w:p>
            <w:pPr>
              <w:pStyle w:val="null3"/>
              <w:jc w:val="both"/>
            </w:pPr>
            <w:r>
              <w:rPr>
                <w:rFonts w:ascii="仿宋_GB2312" w:hAnsi="仿宋_GB2312" w:cs="仿宋_GB2312" w:eastAsia="仿宋_GB2312"/>
              </w:rPr>
              <w:t>9.15.具有程序自动排料和手动排料功能。</w:t>
            </w:r>
          </w:p>
          <w:p>
            <w:pPr>
              <w:pStyle w:val="null3"/>
              <w:jc w:val="both"/>
            </w:pPr>
            <w:r>
              <w:rPr>
                <w:rFonts w:ascii="仿宋_GB2312" w:hAnsi="仿宋_GB2312" w:cs="仿宋_GB2312" w:eastAsia="仿宋_GB2312"/>
              </w:rPr>
              <w:t>9.16.具备人工语音操作提示功能。</w:t>
            </w:r>
          </w:p>
          <w:p>
            <w:pPr>
              <w:pStyle w:val="null3"/>
              <w:jc w:val="both"/>
            </w:pPr>
            <w:r>
              <w:rPr>
                <w:rFonts w:ascii="仿宋_GB2312" w:hAnsi="仿宋_GB2312" w:cs="仿宋_GB2312" w:eastAsia="仿宋_GB2312"/>
              </w:rPr>
              <w:t>9.17.具有温度显示、运行状态显示、剩余时间显示、设置等功能。</w:t>
            </w:r>
          </w:p>
          <w:p>
            <w:pPr>
              <w:pStyle w:val="null3"/>
              <w:jc w:val="both"/>
            </w:pPr>
            <w:r>
              <w:rPr>
                <w:rFonts w:ascii="仿宋_GB2312" w:hAnsi="仿宋_GB2312" w:cs="仿宋_GB2312" w:eastAsia="仿宋_GB2312"/>
              </w:rPr>
              <w:t>9.18.双料箱具备钥匙锁扣设计。</w:t>
            </w:r>
          </w:p>
          <w:p>
            <w:pPr>
              <w:pStyle w:val="null3"/>
              <w:jc w:val="both"/>
            </w:pPr>
            <w:r>
              <w:rPr>
                <w:rFonts w:ascii="仿宋_GB2312" w:hAnsi="仿宋_GB2312" w:cs="仿宋_GB2312" w:eastAsia="仿宋_GB2312"/>
              </w:rPr>
              <w:t>9.19.程序自动搅拌，如遇阻挡，自动停止，语音提示。</w:t>
            </w:r>
          </w:p>
          <w:p>
            <w:pPr>
              <w:pStyle w:val="null3"/>
              <w:jc w:val="both"/>
            </w:pPr>
            <w:r>
              <w:rPr>
                <w:rFonts w:ascii="仿宋_GB2312" w:hAnsi="仿宋_GB2312" w:cs="仿宋_GB2312" w:eastAsia="仿宋_GB2312"/>
              </w:rPr>
              <w:t>9.20.设备内部采用SUS304不锈钢制作。</w:t>
            </w:r>
          </w:p>
          <w:p>
            <w:pPr>
              <w:pStyle w:val="null3"/>
              <w:jc w:val="both"/>
            </w:pPr>
            <w:r>
              <w:rPr>
                <w:rFonts w:ascii="仿宋_GB2312" w:hAnsi="仿宋_GB2312" w:cs="仿宋_GB2312" w:eastAsia="仿宋_GB2312"/>
              </w:rPr>
              <w:t>9.21.设备使用年限≥8年。</w:t>
            </w:r>
          </w:p>
          <w:p>
            <w:pPr>
              <w:pStyle w:val="null3"/>
              <w:jc w:val="both"/>
            </w:pPr>
            <w:r>
              <w:rPr>
                <w:rFonts w:ascii="仿宋_GB2312" w:hAnsi="仿宋_GB2312" w:cs="仿宋_GB2312" w:eastAsia="仿宋_GB2312"/>
                <w:b/>
              </w:rPr>
              <w:t>10.人体成分分析仪</w:t>
            </w:r>
          </w:p>
          <w:p>
            <w:pPr>
              <w:pStyle w:val="null3"/>
              <w:jc w:val="both"/>
            </w:pPr>
            <w:r>
              <w:rPr>
                <w:rFonts w:ascii="仿宋_GB2312" w:hAnsi="仿宋_GB2312" w:cs="仿宋_GB2312" w:eastAsia="仿宋_GB2312"/>
              </w:rPr>
              <w:t>10.1.用于人体成分检测与营养管理。</w:t>
            </w:r>
          </w:p>
          <w:p>
            <w:pPr>
              <w:pStyle w:val="null3"/>
              <w:jc w:val="both"/>
            </w:pPr>
            <w:r>
              <w:rPr>
                <w:rFonts w:ascii="仿宋_GB2312" w:hAnsi="仿宋_GB2312" w:cs="仿宋_GB2312" w:eastAsia="仿宋_GB2312"/>
              </w:rPr>
              <w:t>10.2.人体成分报告内容</w:t>
            </w:r>
          </w:p>
          <w:p>
            <w:pPr>
              <w:pStyle w:val="null3"/>
              <w:jc w:val="both"/>
            </w:pPr>
            <w:r>
              <w:rPr>
                <w:rFonts w:ascii="仿宋_GB2312" w:hAnsi="仿宋_GB2312" w:cs="仿宋_GB2312" w:eastAsia="仿宋_GB2312"/>
              </w:rPr>
              <w:t>10.2.1.支持检测孕产妇、儿童（3～18岁）、成人（18～60岁）及老年人（60岁以上），并出具报告等。</w:t>
            </w:r>
          </w:p>
          <w:p>
            <w:pPr>
              <w:pStyle w:val="null3"/>
              <w:jc w:val="both"/>
            </w:pPr>
            <w:r>
              <w:rPr>
                <w:rFonts w:ascii="仿宋_GB2312" w:hAnsi="仿宋_GB2312" w:cs="仿宋_GB2312" w:eastAsia="仿宋_GB2312"/>
              </w:rPr>
              <w:t>10.2.2.孕产妇体成分及评价报告支持展示孕期体重增长曲线。</w:t>
            </w:r>
          </w:p>
          <w:p>
            <w:pPr>
              <w:pStyle w:val="null3"/>
              <w:jc w:val="both"/>
            </w:pPr>
            <w:r>
              <w:rPr>
                <w:rFonts w:ascii="仿宋_GB2312" w:hAnsi="仿宋_GB2312" w:cs="仿宋_GB2312" w:eastAsia="仿宋_GB2312"/>
              </w:rPr>
              <w:t>10.2.3.儿童体成分及评价报告支持展示儿童体重、身高、头围及BMI，并支持切换国际和国内两种评价标准。</w:t>
            </w:r>
          </w:p>
          <w:p>
            <w:pPr>
              <w:pStyle w:val="null3"/>
              <w:jc w:val="both"/>
            </w:pPr>
            <w:r>
              <w:rPr>
                <w:rFonts w:ascii="仿宋_GB2312" w:hAnsi="仿宋_GB2312" w:cs="仿宋_GB2312" w:eastAsia="仿宋_GB2312"/>
              </w:rPr>
              <w:t>10.2.4.自动进行体型判定，有肌肉占比及骨骼肌分析，有节段性肌肉、脂肪、浮肿、骨内矿物质质量分析。</w:t>
            </w:r>
          </w:p>
          <w:p>
            <w:pPr>
              <w:pStyle w:val="null3"/>
              <w:jc w:val="both"/>
            </w:pPr>
            <w:r>
              <w:rPr>
                <w:rFonts w:ascii="仿宋_GB2312" w:hAnsi="仿宋_GB2312" w:cs="仿宋_GB2312" w:eastAsia="仿宋_GB2312"/>
              </w:rPr>
              <w:t>10.2.5.具备综合分析评估，包含营养评估（蛋白质，无机盐，体脂肪），肥胖分析（BMI、体脂百分比、腰臀比），体重管理（体重、肌肉量、体脂肪），体重控制（目标体重、体重控制、脂肪控制、肌肉控制）；相位角（各节段及全身）。</w:t>
            </w:r>
          </w:p>
          <w:p>
            <w:pPr>
              <w:pStyle w:val="null3"/>
              <w:jc w:val="both"/>
            </w:pPr>
            <w:r>
              <w:rPr>
                <w:rFonts w:ascii="仿宋_GB2312" w:hAnsi="仿宋_GB2312" w:cs="仿宋_GB2312" w:eastAsia="仿宋_GB2312"/>
              </w:rPr>
              <w:t>10.2.6.具备风险评估，如跌倒风险、脂肪肝风险等。</w:t>
            </w:r>
          </w:p>
          <w:p>
            <w:pPr>
              <w:pStyle w:val="null3"/>
              <w:jc w:val="both"/>
            </w:pPr>
            <w:r>
              <w:rPr>
                <w:rFonts w:ascii="仿宋_GB2312" w:hAnsi="仿宋_GB2312" w:cs="仿宋_GB2312" w:eastAsia="仿宋_GB2312"/>
              </w:rPr>
              <w:t>10.2.7.具有身体年龄评估及健康评估得分。</w:t>
            </w:r>
          </w:p>
          <w:p>
            <w:pPr>
              <w:pStyle w:val="null3"/>
              <w:jc w:val="both"/>
            </w:pPr>
            <w:r>
              <w:rPr>
                <w:rFonts w:ascii="仿宋_GB2312" w:hAnsi="仿宋_GB2312" w:cs="仿宋_GB2312" w:eastAsia="仿宋_GB2312"/>
              </w:rPr>
              <w:t>10.3.储存信息：≥500万条。</w:t>
            </w:r>
          </w:p>
          <w:p>
            <w:pPr>
              <w:pStyle w:val="null3"/>
              <w:jc w:val="both"/>
            </w:pPr>
            <w:r>
              <w:rPr>
                <w:rFonts w:ascii="仿宋_GB2312" w:hAnsi="仿宋_GB2312" w:cs="仿宋_GB2312" w:eastAsia="仿宋_GB2312"/>
              </w:rPr>
              <w:t>10.4.测试时间≤1分钟。</w:t>
            </w:r>
          </w:p>
          <w:p>
            <w:pPr>
              <w:pStyle w:val="null3"/>
              <w:jc w:val="both"/>
            </w:pPr>
            <w:r>
              <w:rPr>
                <w:rFonts w:ascii="仿宋_GB2312" w:hAnsi="仿宋_GB2312" w:cs="仿宋_GB2312" w:eastAsia="仿宋_GB2312"/>
              </w:rPr>
              <w:t>10.5.测量系统：</w:t>
            </w:r>
          </w:p>
          <w:p>
            <w:pPr>
              <w:pStyle w:val="null3"/>
              <w:jc w:val="both"/>
            </w:pPr>
            <w:r>
              <w:rPr>
                <w:rFonts w:ascii="仿宋_GB2312" w:hAnsi="仿宋_GB2312" w:cs="仿宋_GB2312" w:eastAsia="仿宋_GB2312"/>
              </w:rPr>
              <w:t>1）多频段测量：1kHz、5kHz、50kHz、250kHz、500kHz、1000kHz。</w:t>
            </w:r>
          </w:p>
          <w:p>
            <w:pPr>
              <w:pStyle w:val="null3"/>
              <w:jc w:val="both"/>
            </w:pPr>
            <w:r>
              <w:rPr>
                <w:rFonts w:ascii="仿宋_GB2312" w:hAnsi="仿宋_GB2312" w:cs="仿宋_GB2312" w:eastAsia="仿宋_GB2312"/>
              </w:rPr>
              <w:t>2）五段测量：左上肢、右上肢、躯干、左下肢、右下肢。</w:t>
            </w:r>
          </w:p>
          <w:p>
            <w:pPr>
              <w:pStyle w:val="null3"/>
              <w:jc w:val="both"/>
            </w:pPr>
            <w:r>
              <w:rPr>
                <w:rFonts w:ascii="仿宋_GB2312" w:hAnsi="仿宋_GB2312" w:cs="仿宋_GB2312" w:eastAsia="仿宋_GB2312"/>
              </w:rPr>
              <w:t>3）应用原理：生物阻抗检测方法。</w:t>
            </w:r>
          </w:p>
          <w:p>
            <w:pPr>
              <w:pStyle w:val="null3"/>
              <w:jc w:val="both"/>
            </w:pPr>
            <w:r>
              <w:rPr>
                <w:rFonts w:ascii="仿宋_GB2312" w:hAnsi="仿宋_GB2312" w:cs="仿宋_GB2312" w:eastAsia="仿宋_GB2312"/>
              </w:rPr>
              <w:t>4）电极片：八点接触式电极。</w:t>
            </w:r>
          </w:p>
          <w:p>
            <w:pPr>
              <w:pStyle w:val="null3"/>
              <w:jc w:val="both"/>
            </w:pPr>
            <w:r>
              <w:rPr>
                <w:rFonts w:ascii="仿宋_GB2312" w:hAnsi="仿宋_GB2312" w:cs="仿宋_GB2312" w:eastAsia="仿宋_GB2312"/>
              </w:rPr>
              <w:t>10.6.触摸电容屏≥12英寸。</w:t>
            </w:r>
          </w:p>
          <w:p>
            <w:pPr>
              <w:pStyle w:val="null3"/>
              <w:jc w:val="both"/>
            </w:pPr>
            <w:r>
              <w:rPr>
                <w:rFonts w:ascii="仿宋_GB2312" w:hAnsi="仿宋_GB2312" w:cs="仿宋_GB2312" w:eastAsia="仿宋_GB2312"/>
              </w:rPr>
              <w:t>10.7.具备档案管理功能。</w:t>
            </w:r>
          </w:p>
          <w:p>
            <w:pPr>
              <w:pStyle w:val="null3"/>
              <w:jc w:val="both"/>
            </w:pPr>
            <w:r>
              <w:rPr>
                <w:rFonts w:ascii="仿宋_GB2312" w:hAnsi="仿宋_GB2312" w:cs="仿宋_GB2312" w:eastAsia="仿宋_GB2312"/>
              </w:rPr>
              <w:t>10.8.具备档案查询、营养指标持续监测功能。</w:t>
            </w:r>
          </w:p>
          <w:p>
            <w:pPr>
              <w:pStyle w:val="null3"/>
              <w:jc w:val="both"/>
            </w:pPr>
            <w:r>
              <w:rPr>
                <w:rFonts w:ascii="仿宋_GB2312" w:hAnsi="仿宋_GB2312" w:cs="仿宋_GB2312" w:eastAsia="仿宋_GB2312"/>
              </w:rPr>
              <w:t>▲10.9.营养及健康评估方式包含NRS2022营养风险筛查、mPG-SGA国内改良版病人主观综合评估量表、SGA主观全面评定法、儿科营养不良评估筛查工具(STAMP)、营养不良通用筛查工具(MUST)、微型营养评定简表(MNA-SF)等。</w:t>
            </w:r>
          </w:p>
          <w:p>
            <w:pPr>
              <w:pStyle w:val="null3"/>
              <w:jc w:val="both"/>
            </w:pPr>
            <w:r>
              <w:rPr>
                <w:rFonts w:ascii="仿宋_GB2312" w:hAnsi="仿宋_GB2312" w:cs="仿宋_GB2312" w:eastAsia="仿宋_GB2312"/>
              </w:rPr>
              <w:t>10.10.可根据测量结果制定个性化智能营养方案。也可针对营养治疗前后的营养情况进行分析汇总。</w:t>
            </w:r>
          </w:p>
          <w:p>
            <w:pPr>
              <w:pStyle w:val="null3"/>
              <w:jc w:val="both"/>
            </w:pPr>
            <w:r>
              <w:rPr>
                <w:rFonts w:ascii="仿宋_GB2312" w:hAnsi="仿宋_GB2312" w:cs="仿宋_GB2312" w:eastAsia="仿宋_GB2312"/>
                <w:b/>
              </w:rPr>
              <w:t>11.肠内营养粉自动混合配置机</w:t>
            </w:r>
          </w:p>
          <w:p>
            <w:pPr>
              <w:pStyle w:val="null3"/>
              <w:jc w:val="left"/>
            </w:pPr>
            <w:r>
              <w:rPr>
                <w:rFonts w:ascii="仿宋_GB2312" w:hAnsi="仿宋_GB2312" w:cs="仿宋_GB2312" w:eastAsia="仿宋_GB2312"/>
              </w:rPr>
              <w:t>11.1.用于肠内营养食品粉剂的个性化配置、包装。</w:t>
            </w:r>
          </w:p>
          <w:p>
            <w:pPr>
              <w:pStyle w:val="null3"/>
              <w:jc w:val="left"/>
            </w:pPr>
            <w:r>
              <w:rPr>
                <w:rFonts w:ascii="仿宋_GB2312" w:hAnsi="仿宋_GB2312" w:cs="仿宋_GB2312" w:eastAsia="仿宋_GB2312"/>
              </w:rPr>
              <w:t>11.2.由称重系统、分装模块组成。</w:t>
            </w:r>
          </w:p>
          <w:p>
            <w:pPr>
              <w:pStyle w:val="null3"/>
              <w:jc w:val="left"/>
            </w:pPr>
            <w:r>
              <w:rPr>
                <w:rFonts w:ascii="仿宋_GB2312" w:hAnsi="仿宋_GB2312" w:cs="仿宋_GB2312" w:eastAsia="仿宋_GB2312"/>
              </w:rPr>
              <w:t>11.3.高精度全自动称重放料系统，快速分装。</w:t>
            </w:r>
          </w:p>
          <w:p>
            <w:pPr>
              <w:pStyle w:val="null3"/>
              <w:jc w:val="left"/>
            </w:pPr>
            <w:r>
              <w:rPr>
                <w:rFonts w:ascii="仿宋_GB2312" w:hAnsi="仿宋_GB2312" w:cs="仿宋_GB2312" w:eastAsia="仿宋_GB2312"/>
              </w:rPr>
              <w:t>11.4.全封闭非接触配制环境，一键式全自动配制。</w:t>
            </w:r>
          </w:p>
          <w:p>
            <w:pPr>
              <w:pStyle w:val="null3"/>
              <w:jc w:val="left"/>
            </w:pPr>
            <w:r>
              <w:rPr>
                <w:rFonts w:ascii="仿宋_GB2312" w:hAnsi="仿宋_GB2312" w:cs="仿宋_GB2312" w:eastAsia="仿宋_GB2312"/>
              </w:rPr>
              <w:t>11.5. 配料数量：≥3种。</w:t>
            </w:r>
          </w:p>
          <w:p>
            <w:pPr>
              <w:pStyle w:val="null3"/>
              <w:jc w:val="left"/>
            </w:pPr>
            <w:r>
              <w:rPr>
                <w:rFonts w:ascii="仿宋_GB2312" w:hAnsi="仿宋_GB2312" w:cs="仿宋_GB2312" w:eastAsia="仿宋_GB2312"/>
              </w:rPr>
              <w:t>11.6.配料仓容积≥1.5升。</w:t>
            </w:r>
          </w:p>
          <w:p>
            <w:pPr>
              <w:pStyle w:val="null3"/>
              <w:jc w:val="left"/>
            </w:pPr>
            <w:r>
              <w:rPr>
                <w:rFonts w:ascii="仿宋_GB2312" w:hAnsi="仿宋_GB2312" w:cs="仿宋_GB2312" w:eastAsia="仿宋_GB2312"/>
              </w:rPr>
              <w:t>11.7.根据需要与 HIS 系统、相关营养诊疗系统及远程配制系统对接。</w:t>
            </w:r>
          </w:p>
          <w:p>
            <w:pPr>
              <w:pStyle w:val="null3"/>
              <w:jc w:val="left"/>
            </w:pPr>
            <w:r>
              <w:rPr>
                <w:rFonts w:ascii="仿宋_GB2312" w:hAnsi="仿宋_GB2312" w:cs="仿宋_GB2312" w:eastAsia="仿宋_GB2312"/>
              </w:rPr>
              <w:t>11.8.配置速度调节范围：60-120份/小时。</w:t>
            </w:r>
          </w:p>
          <w:p>
            <w:pPr>
              <w:pStyle w:val="null3"/>
            </w:pPr>
            <w:r>
              <w:rPr>
                <w:rFonts w:ascii="仿宋_GB2312" w:hAnsi="仿宋_GB2312" w:cs="仿宋_GB2312" w:eastAsia="仿宋_GB2312"/>
              </w:rPr>
              <w:t>11.9.材质：不锈钢，料盒食品级PP。</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合同签订即日起30个日历日内。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设备完成安装调试后，经过采购人初步验收，成交供应商开具符合税法规定的全额增值税发票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设备试运行1年无问题并经过采购人最终验收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设备验收合格后免费保修≥3年，保修期满后负责维修，只收取材料成本费并保证零配件供应≥5年。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①按《中华人民共和国民法典》中的相关条款执行。②中标人未按合同要求提供货物或货物质量不能满足国家标准，采购人有权单方解除合同，中标人应按照合同总金额的20%向甲方支付违约金。③如有纠纷，双方友好协商解决，协商不成时可诉讼到采购人所在地人民法院解决。 解决争议的方法①合同一经签订，不得随意变更、中止或终止。对确需变更、调整或者中止、终止合同的，应按规定履行相应的手续。②凡与本合同有关而引起的一切争议，采购人与中标人双方应首先通过友好协商解决，如经协商后仍不能达成协议时，任何一方可以向采购人所在地法院提出诉讼。③本合同的诉讼管辖地采购人所在地的法院。④在进行法院审理期间，除提交法院审理的事项外，合同其他部分仍应继续履行。⑤本合同按照中华人民共和国的法律进行解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下列要求须提供承诺函，格式自拟。 ★1.负责培训操作人员。 ★2.维修响应时间1小时，8小时到位。 ★3.需要时负责设备与院方的His、Lis、Pacs等网络对接事宜,并承担一切相关费用。 ★4.设备配置的打印机，必须与下列耗材相适配：黑白：388A；280A；2612A；192A。彩色：HP CE410系列；HP CF511系列；HP 950系列；HP 46系列。 ★5.设备生产日期要求：设备须为到货之日前9个月内生产的产品。 6.为顺利推进政府采购电子化交易平台应用工作，投标人需要在线提交所有通过电子化交易平台实施的政府采购项目的投标文件，同时，线下提交投标文件正本壹份、电子版壹份（U盘一份标明投标人名称，随正本密封）。若电子投标文件与纸质投标文件不一致的，以电子投标文件为准；线下递交文件时间：详见本项目招标公告文件截止时间；线下递交文件地点：西安市莲湖区二环南路西段202号九座花园16层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2、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所投产品如属于医疗器械的须提供《医疗器械经营许可证》或《医疗器械经营备案凭证》；投标人为制造商的，所投产品如属于医疗器械的须提供《医疗器械生产许可证》或《医疗器械生产企业登记表》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产品证书</w:t>
            </w:r>
          </w:p>
        </w:tc>
        <w:tc>
          <w:tcPr>
            <w:tcW w:type="dxa" w:w="3322"/>
          </w:tcPr>
          <w:p>
            <w:pPr>
              <w:pStyle w:val="null3"/>
            </w:pPr>
            <w:r>
              <w:rPr>
                <w:rFonts w:ascii="仿宋_GB2312" w:hAnsi="仿宋_GB2312" w:cs="仿宋_GB2312" w:eastAsia="仿宋_GB2312"/>
              </w:rPr>
              <w:t>所投产品属于医疗器械的提供医疗器械产品注册证（若注册证有附件的，还须提供附件）或医疗器械备案凭证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采购代理机构于本项目招标公告发布后至开标当日查询相关信用记录，对列入失信被执行人、重大税收违法失信主体、政府采购严重违法失信行为记录名单及其他不符合《中华人民共和国政府采购法》第二十二条规定的供 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与营业执照一致、资质证书一致</w:t>
            </w:r>
          </w:p>
        </w:tc>
        <w:tc>
          <w:tcPr>
            <w:tcW w:type="dxa" w:w="1661"/>
          </w:tcPr>
          <w:p>
            <w:pPr>
              <w:pStyle w:val="null3"/>
            </w:pPr>
            <w:r>
              <w:rPr>
                <w:rFonts w:ascii="仿宋_GB2312" w:hAnsi="仿宋_GB2312" w:cs="仿宋_GB2312" w:eastAsia="仿宋_GB2312"/>
              </w:rPr>
              <w:t>开标一览表.docx 开标一览表 中小企业声明函 资格证明文件.docx 供应商承诺书.docx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备选投标方案</w:t>
            </w:r>
          </w:p>
        </w:tc>
        <w:tc>
          <w:tcPr>
            <w:tcW w:type="dxa" w:w="3322"/>
          </w:tcPr>
          <w:p>
            <w:pPr>
              <w:pStyle w:val="null3"/>
            </w:pPr>
            <w:r>
              <w:rPr>
                <w:rFonts w:ascii="仿宋_GB2312" w:hAnsi="仿宋_GB2312" w:cs="仿宋_GB2312" w:eastAsia="仿宋_GB2312"/>
              </w:rPr>
              <w:t>除招标文件明确允许提交备选投标方案外，投标人不得提交备选投标方案</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符合第二章“投标人须知”第2.4.7项规定</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符合第二章“投标人须知”第2.1投标人须知前附表、12条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应满足招标文件中的要求（详见：供应商承诺书）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投标保证金缴纳凭证或担保机构出具的保函</w:t>
            </w:r>
          </w:p>
        </w:tc>
        <w:tc>
          <w:tcPr>
            <w:tcW w:type="dxa" w:w="3322"/>
          </w:tcPr>
          <w:p>
            <w:pPr>
              <w:pStyle w:val="null3"/>
            </w:pPr>
            <w:r>
              <w:rPr>
                <w:rFonts w:ascii="仿宋_GB2312" w:hAnsi="仿宋_GB2312" w:cs="仿宋_GB2312" w:eastAsia="仿宋_GB2312"/>
              </w:rPr>
              <w:t>符合第二章“投标人须知”第2.1投标人须知前附表、9条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不同供应商的投标文件是否由同一单位或者个人编制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不同供应商是否委托同一单位或者个人办理投标事宜</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不同供应商的投标文件载明的项目管理成员或者联系人员是否为同一人</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不同供应商的投标文件是否异常一致或者投标报价呈规律性差异</w:t>
            </w:r>
          </w:p>
        </w:tc>
        <w:tc>
          <w:tcPr>
            <w:tcW w:type="dxa" w:w="3322"/>
          </w:tcPr>
          <w:p>
            <w:pPr>
              <w:pStyle w:val="null3"/>
            </w:pPr>
            <w:r>
              <w:rPr>
                <w:rFonts w:ascii="仿宋_GB2312" w:hAnsi="仿宋_GB2312" w:cs="仿宋_GB2312" w:eastAsia="仿宋_GB2312"/>
              </w:rPr>
              <w:t>不同供应商的投标文件是否异常一致或者投标报价呈规律性差异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15</w:t>
            </w:r>
          </w:p>
        </w:tc>
        <w:tc>
          <w:tcPr>
            <w:tcW w:type="dxa" w:w="2492"/>
          </w:tcPr>
          <w:p>
            <w:pPr>
              <w:pStyle w:val="null3"/>
            </w:pPr>
            <w:r>
              <w:rPr>
                <w:rFonts w:ascii="仿宋_GB2312" w:hAnsi="仿宋_GB2312" w:cs="仿宋_GB2312" w:eastAsia="仿宋_GB2312"/>
              </w:rPr>
              <w:t>不同供应商的投标文件是否相互混装</w:t>
            </w:r>
          </w:p>
        </w:tc>
        <w:tc>
          <w:tcPr>
            <w:tcW w:type="dxa" w:w="3322"/>
          </w:tcPr>
          <w:p>
            <w:pPr>
              <w:pStyle w:val="null3"/>
            </w:pPr>
            <w:r>
              <w:rPr>
                <w:rFonts w:ascii="仿宋_GB2312" w:hAnsi="仿宋_GB2312" w:cs="仿宋_GB2312" w:eastAsia="仿宋_GB2312"/>
              </w:rPr>
              <w:t>不同供应商的投标文件是否相互混装</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16</w:t>
            </w:r>
          </w:p>
        </w:tc>
        <w:tc>
          <w:tcPr>
            <w:tcW w:type="dxa" w:w="2492"/>
          </w:tcPr>
          <w:p>
            <w:pPr>
              <w:pStyle w:val="null3"/>
            </w:pPr>
            <w:r>
              <w:rPr>
                <w:rFonts w:ascii="仿宋_GB2312" w:hAnsi="仿宋_GB2312" w:cs="仿宋_GB2312" w:eastAsia="仿宋_GB2312"/>
              </w:rPr>
              <w:t>不同供应商的投标保证金是否从同一单位或者个人的账户转出</w:t>
            </w:r>
          </w:p>
        </w:tc>
        <w:tc>
          <w:tcPr>
            <w:tcW w:type="dxa" w:w="3322"/>
          </w:tcPr>
          <w:p>
            <w:pPr>
              <w:pStyle w:val="null3"/>
            </w:pPr>
            <w:r>
              <w:rPr>
                <w:rFonts w:ascii="仿宋_GB2312" w:hAnsi="仿宋_GB2312" w:cs="仿宋_GB2312" w:eastAsia="仿宋_GB2312"/>
              </w:rPr>
              <w:t>不同供应商的投标保证金是否从同一单位或者个人的账户转出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技术需求符合度</w:t>
            </w:r>
          </w:p>
        </w:tc>
        <w:tc>
          <w:tcPr>
            <w:tcW w:type="dxa" w:w="2492"/>
          </w:tcPr>
          <w:p>
            <w:pPr>
              <w:pStyle w:val="null3"/>
            </w:pPr>
            <w:r>
              <w:rPr>
                <w:rFonts w:ascii="仿宋_GB2312" w:hAnsi="仿宋_GB2312" w:cs="仿宋_GB2312" w:eastAsia="仿宋_GB2312"/>
              </w:rPr>
              <w:t>根据招标文件要求（第三章3.3技术要求）认真审核投标文件中技术参数响应和提供的佐证材料。 投标系统的基本功能、产品技术参数和配置完全满足或优于招标文件要求的，得满分35分。 其中：（1）带“▲”号参数为重要参数（满分21），每负偏离一项扣1.5分，扣完为止。 （2）未带“▲”号参数为一般参数（满分14分），每负偏离一项扣0.5分，扣完为止。 备注： 1、技术指标要求中有具体数据的，投标响应时需提供具体数据响应，不能简单响应为“具备”或“有”或“≥”或“≤”等，否则视为不满足招标文件要求。 2、参数响应根据第三章3.3各自参数对应要求响应：（1）没有明确要求提供证明材料的，以“技术规格响应表”响应为准，供应商对响应真实性负责；（2）▲须提供证明材料，并标准在投标文件中的具体位置，证明材料包含但不限于：第三方机构报告或制造商检验报告或产品彩页或功能截图，证明材料须加盖公章。（3）投标人未按上述要求提供证明材料或材料无法证明招标要求的，则认定其产品技术参数不满足对应招标要求。</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磁刺激仪、超声波治疗仪、微波治疗仪、低频电子脉冲治疗仪、电子生物反馈、X射线骨龄仪、学习能力评估干预系统、全自动蜡疗系统、人体成分分析仪、肠内营养粉自动混合配置机）来源渠道正规，提供产品制造商针对本项目相关合法来源渠道证明文件。 供应商为产品制造商的，提供所投生产承诺书或相关证明材料；供应商为经销商的，提供所投产品合法来源渠道证明文件（包括但不限于：产品制造商授权或销售协议或代理协议等）。 每提供一个所投产品的符合评审要求的证明材料，得0.3分，满分3分。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据投标人提供的项目实施方案，包含：①项目实施规划②质量保障及处理措施（质量保障及处理措施内容包括但不限于安全保障措施、采购环节控制、包装运输等）③供货进度计划④安装调试方案⑤组织协调方案5项内容进行综合评审。实施方案各部分内容全面详细、阐述条理清晰详尽、符合本项目采购需求得10分； 以上五项内容每缺少一项扣2分； 有某一项不符合实际要求或不满足实施要求或套用其他项目内容的每项扣1.5分； 有某一项有瑕疵或缺陷的每项扣1分； 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根据本项目的人员配备情况，包含：①人员配备总体情况②人员岗位职责划分③人员管理及岗位制度④专业技术人员投入情况等4项内容进行综合评审。满足且人员保障措施详细、职责划分清晰、拟投入的人员能够满足供货要求及项目需求得4分； 以上四项内容每缺少一项扣1分； 有某一项不完整或不符合实际要求或不满足实施要求或套用其他项目内容的每项扣0.5分；未提供得0分。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计划、时间②培训内容③培训方式④培训保障措施（至少能够保障最终验收时使用人员熟练操作、维护和正常使用。）等4项内容进行综合评审。方案各部分内容全面详细、阐述条理清晰详尽、符合本项目采购需求得4分，以上四项内容每缺少一项扣1分，有某一项不完整或不符合实际要求或不满足培训要求或套用其他项目内容的扣0.5分，扣完为止。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根据投标人提供完善的售后服务方案包括①特殊情况应对方案②产品质量问题退货、换货方案③售后服务流程、服务响应时间④售后服务承诺等4项内容进行评审，最高8分； 以上四项内容每缺少一项扣2分； 有某一项不符合实际要求或不满足实施要求或套用其他项目内容的每项扣1.5分； 有某一项有瑕疵或缺陷的每项扣1分； 扣完为止。未提供得0分。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1、投标产品列入财政部、发展改革委发布的节能产品品目清单的，提供国家市场监督管理总局公布的《参与实施政府采购节能产品认证机构名录》内的认证机构出具的、处于有效期之内的节能标志产品认证证书的，得0.5分。 2、投标产品列入财政部、生态环境部发布的环境标志产品品目清单的，提供国家市场监督管理总局公布的《参与实施政府采购环境标志产品认证机构名录》内的认证机构出具的、处于有效期之内的环境标志产品认证证书，得0.5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提供投标人2023年1月1日至今(以合同签订时间为准)同类项目业绩，每提供一份有效业绩证明材料，得1分，满分共5分。（注：业绩证明材料以投标文件中所附的合同复印件加盖公章为准。）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2、价格分统一采用低价优先法计算，即满足招标文件要求且投标价格最低的投标报价为评标基准价，其价格分为满分。3、其他投标人的价格分统一按照下列公式计算： 投标报价得分=(评标基准价／投标报价)×30；4、计算分数时四舍五入取小数点后两位。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