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7DAF6">
      <w:pPr>
        <w:pStyle w:val="3"/>
        <w:jc w:val="center"/>
        <w:rPr>
          <w:rFonts w:hint="eastAsia" w:ascii="仿宋" w:hAnsi="仿宋" w:eastAsia="仿宋" w:cs="仿宋"/>
          <w:b/>
          <w:bCs/>
          <w:color w:val="auto"/>
          <w:spacing w:val="-20"/>
          <w:kern w:val="44"/>
          <w:sz w:val="48"/>
          <w:szCs w:val="48"/>
          <w:highlight w:val="none"/>
        </w:rPr>
      </w:pPr>
      <w:bookmarkStart w:id="0" w:name="_Toc3995"/>
    </w:p>
    <w:p w14:paraId="253612A0">
      <w:pPr>
        <w:pStyle w:val="3"/>
        <w:jc w:val="center"/>
        <w:rPr>
          <w:rFonts w:hint="eastAsia" w:ascii="仿宋" w:hAnsi="仿宋" w:eastAsia="仿宋" w:cs="仿宋"/>
          <w:b/>
          <w:bCs/>
          <w:color w:val="auto"/>
          <w:spacing w:val="-20"/>
          <w:kern w:val="44"/>
          <w:sz w:val="48"/>
          <w:szCs w:val="48"/>
          <w:highlight w:val="none"/>
        </w:rPr>
      </w:pPr>
    </w:p>
    <w:p w14:paraId="01534980">
      <w:pPr>
        <w:pStyle w:val="3"/>
        <w:jc w:val="center"/>
        <w:rPr>
          <w:rFonts w:hint="eastAsia" w:ascii="仿宋" w:hAnsi="仿宋" w:eastAsia="仿宋" w:cs="仿宋"/>
          <w:b/>
          <w:bCs/>
          <w:color w:val="auto"/>
          <w:spacing w:val="-20"/>
          <w:kern w:val="44"/>
          <w:sz w:val="48"/>
          <w:szCs w:val="48"/>
          <w:highlight w:val="none"/>
          <w:lang w:val="en-US" w:eastAsia="zh-CN"/>
        </w:rPr>
      </w:pPr>
      <w:r>
        <w:rPr>
          <w:rFonts w:hint="eastAsia" w:ascii="仿宋" w:hAnsi="仿宋" w:eastAsia="仿宋" w:cs="仿宋"/>
          <w:b/>
          <w:bCs/>
          <w:color w:val="auto"/>
          <w:spacing w:val="-20"/>
          <w:kern w:val="44"/>
          <w:sz w:val="48"/>
          <w:szCs w:val="48"/>
          <w:highlight w:val="none"/>
          <w:lang w:val="en-US" w:eastAsia="zh-CN"/>
        </w:rPr>
        <w:t>西北妇女儿童医院</w:t>
      </w:r>
    </w:p>
    <w:p w14:paraId="3CE39784">
      <w:pPr>
        <w:pStyle w:val="3"/>
        <w:jc w:val="center"/>
        <w:rPr>
          <w:rFonts w:hint="eastAsia" w:ascii="仿宋" w:hAnsi="仿宋" w:eastAsia="仿宋" w:cs="仿宋"/>
          <w:b/>
          <w:bCs/>
          <w:color w:val="auto"/>
          <w:spacing w:val="-20"/>
          <w:kern w:val="44"/>
          <w:sz w:val="48"/>
          <w:szCs w:val="48"/>
          <w:highlight w:val="none"/>
        </w:rPr>
      </w:pPr>
      <w:r>
        <w:rPr>
          <w:rFonts w:hint="eastAsia" w:ascii="仿宋" w:hAnsi="仿宋" w:eastAsia="仿宋" w:cs="仿宋"/>
          <w:b/>
          <w:bCs/>
          <w:color w:val="auto"/>
          <w:spacing w:val="-20"/>
          <w:kern w:val="44"/>
          <w:sz w:val="48"/>
          <w:szCs w:val="48"/>
          <w:highlight w:val="none"/>
          <w:lang w:eastAsia="zh-CN"/>
        </w:rPr>
        <w:t>磁刺激仪、电子生物反馈等设备</w:t>
      </w:r>
      <w:r>
        <w:rPr>
          <w:rFonts w:hint="eastAsia" w:ascii="仿宋" w:hAnsi="仿宋" w:eastAsia="仿宋" w:cs="仿宋"/>
          <w:b/>
          <w:bCs/>
          <w:color w:val="auto"/>
          <w:spacing w:val="-20"/>
          <w:kern w:val="44"/>
          <w:sz w:val="48"/>
          <w:szCs w:val="48"/>
          <w:highlight w:val="none"/>
        </w:rPr>
        <w:t>合同</w:t>
      </w:r>
    </w:p>
    <w:p w14:paraId="0127A384">
      <w:pPr>
        <w:rPr>
          <w:rFonts w:hint="eastAsia" w:ascii="仿宋" w:hAnsi="仿宋" w:eastAsia="仿宋" w:cs="仿宋"/>
          <w:b/>
          <w:bCs/>
          <w:color w:val="auto"/>
          <w:spacing w:val="-20"/>
          <w:kern w:val="44"/>
          <w:sz w:val="40"/>
          <w:szCs w:val="40"/>
          <w:highlight w:val="none"/>
        </w:rPr>
      </w:pPr>
    </w:p>
    <w:p w14:paraId="5F8C8856">
      <w:pPr>
        <w:rPr>
          <w:rFonts w:hint="eastAsia" w:ascii="仿宋" w:hAnsi="仿宋" w:eastAsia="仿宋" w:cs="仿宋"/>
          <w:b/>
          <w:bCs/>
          <w:color w:val="auto"/>
          <w:spacing w:val="-20"/>
          <w:kern w:val="44"/>
          <w:sz w:val="40"/>
          <w:szCs w:val="40"/>
          <w:highlight w:val="none"/>
        </w:rPr>
      </w:pPr>
    </w:p>
    <w:p w14:paraId="3F123F50">
      <w:pPr>
        <w:rPr>
          <w:rFonts w:hint="eastAsia" w:ascii="仿宋" w:hAnsi="仿宋" w:eastAsia="仿宋" w:cs="仿宋"/>
          <w:b/>
          <w:bCs/>
          <w:color w:val="auto"/>
          <w:spacing w:val="-20"/>
          <w:kern w:val="44"/>
          <w:sz w:val="40"/>
          <w:szCs w:val="40"/>
          <w:highlight w:val="none"/>
        </w:rPr>
      </w:pPr>
    </w:p>
    <w:p w14:paraId="35994713">
      <w:pPr>
        <w:widowControl/>
        <w:ind w:firstLine="320" w:firstLineChars="100"/>
        <w:jc w:val="left"/>
        <w:rPr>
          <w:rFonts w:hint="eastAsia" w:ascii="仿宋" w:hAnsi="仿宋" w:eastAsia="仿宋" w:cs="仿宋"/>
          <w:color w:val="auto"/>
          <w:highlight w:val="none"/>
          <w:u w:val="single"/>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sz w:val="32"/>
          <w:szCs w:val="32"/>
          <w:highlight w:val="none"/>
          <w:u w:val="single"/>
          <w:lang w:eastAsia="zh-CN"/>
        </w:rPr>
        <w:t>磁刺激仪、电子生物反馈等设备</w:t>
      </w:r>
      <w:r>
        <w:rPr>
          <w:rFonts w:hint="eastAsia" w:ascii="仿宋" w:hAnsi="仿宋" w:eastAsia="仿宋" w:cs="仿宋"/>
          <w:color w:val="auto"/>
          <w:sz w:val="32"/>
          <w:szCs w:val="32"/>
          <w:highlight w:val="none"/>
          <w:u w:val="single"/>
        </w:rPr>
        <w:t xml:space="preserve">   </w:t>
      </w:r>
    </w:p>
    <w:p w14:paraId="74C986D0">
      <w:pPr>
        <w:spacing w:line="360" w:lineRule="auto"/>
        <w:ind w:firstLine="320" w:firstLineChars="1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甲    方：</w:t>
      </w:r>
      <w:r>
        <w:rPr>
          <w:rFonts w:hint="eastAsia" w:ascii="仿宋" w:hAnsi="仿宋" w:eastAsia="仿宋" w:cs="仿宋"/>
          <w:color w:val="auto"/>
          <w:sz w:val="32"/>
          <w:szCs w:val="32"/>
          <w:highlight w:val="none"/>
          <w:u w:val="single"/>
        </w:rPr>
        <w:t xml:space="preserve">西北妇女儿童医院                 </w:t>
      </w:r>
    </w:p>
    <w:p w14:paraId="031B3136">
      <w:pPr>
        <w:spacing w:line="360" w:lineRule="auto"/>
        <w:ind w:firstLine="320" w:firstLineChars="1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乙    方：</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p>
    <w:p w14:paraId="6E6694FD">
      <w:pPr>
        <w:spacing w:line="360" w:lineRule="auto"/>
        <w:ind w:firstLine="320" w:firstLineChars="1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签订时间：</w:t>
      </w:r>
      <w:r>
        <w:rPr>
          <w:rFonts w:hint="eastAsia" w:ascii="仿宋" w:hAnsi="仿宋" w:eastAsia="仿宋" w:cs="仿宋"/>
          <w:color w:val="auto"/>
          <w:sz w:val="32"/>
          <w:szCs w:val="32"/>
          <w:highlight w:val="none"/>
          <w:u w:val="single"/>
        </w:rPr>
        <w:t xml:space="preserve">                                 </w:t>
      </w:r>
    </w:p>
    <w:p w14:paraId="3ADC24C8">
      <w:pPr>
        <w:rPr>
          <w:rFonts w:hint="eastAsia" w:ascii="仿宋" w:hAnsi="仿宋" w:eastAsia="仿宋" w:cs="仿宋"/>
          <w:color w:val="auto"/>
          <w:highlight w:val="none"/>
        </w:rPr>
      </w:pPr>
    </w:p>
    <w:p w14:paraId="4276152B">
      <w:pPr>
        <w:rPr>
          <w:rFonts w:hint="eastAsia" w:ascii="仿宋" w:hAnsi="仿宋" w:eastAsia="仿宋" w:cs="仿宋"/>
          <w:color w:val="auto"/>
          <w:sz w:val="44"/>
          <w:szCs w:val="44"/>
          <w:highlight w:val="none"/>
        </w:rPr>
      </w:pPr>
    </w:p>
    <w:p w14:paraId="6B3713ED">
      <w:pPr>
        <w:rPr>
          <w:rFonts w:hint="eastAsia" w:ascii="仿宋" w:hAnsi="仿宋" w:eastAsia="仿宋" w:cs="仿宋"/>
          <w:color w:val="auto"/>
          <w:sz w:val="44"/>
          <w:szCs w:val="44"/>
          <w:highlight w:val="none"/>
        </w:rPr>
      </w:pPr>
    </w:p>
    <w:p w14:paraId="5D3332C3">
      <w:pPr>
        <w:rPr>
          <w:rFonts w:hint="eastAsia" w:ascii="仿宋" w:hAnsi="仿宋" w:eastAsia="仿宋" w:cs="仿宋"/>
          <w:color w:val="auto"/>
          <w:sz w:val="44"/>
          <w:szCs w:val="44"/>
          <w:highlight w:val="none"/>
        </w:rPr>
      </w:pPr>
    </w:p>
    <w:p w14:paraId="5778C05B">
      <w:pPr>
        <w:ind w:firstLine="880" w:firstLineChars="200"/>
        <w:rPr>
          <w:rFonts w:hint="eastAsia" w:ascii="仿宋" w:hAnsi="仿宋" w:eastAsia="仿宋" w:cs="仿宋"/>
          <w:color w:val="auto"/>
          <w:sz w:val="44"/>
          <w:szCs w:val="44"/>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bookmarkEnd w:id="0"/>
    <w:p w14:paraId="233B5764">
      <w:pPr>
        <w:pStyle w:val="2"/>
        <w:keepNext/>
        <w:keepLines/>
        <w:pageBreakBefore w:val="0"/>
        <w:widowControl w:val="0"/>
        <w:kinsoku/>
        <w:wordWrap/>
        <w:overflowPunct/>
        <w:topLinePunct w:val="0"/>
        <w:autoSpaceDE/>
        <w:autoSpaceDN/>
        <w:bidi w:val="0"/>
        <w:adjustRightInd w:val="0"/>
        <w:snapToGrid w:val="0"/>
        <w:spacing w:before="120" w:after="120" w:line="400" w:lineRule="exact"/>
        <w:ind w:firstLine="0" w:firstLineChars="0"/>
        <w:jc w:val="center"/>
        <w:textAlignment w:val="auto"/>
        <w:outlineLvl w:val="2"/>
        <w:rPr>
          <w:rFonts w:hint="eastAsia" w:ascii="仿宋" w:hAnsi="仿宋" w:eastAsia="仿宋" w:cs="仿宋"/>
          <w:b w:val="0"/>
          <w:bCs w:val="0"/>
          <w:color w:val="auto"/>
          <w:szCs w:val="28"/>
          <w:highlight w:val="none"/>
        </w:rPr>
      </w:pPr>
      <w:bookmarkStart w:id="1" w:name="_Toc22209"/>
      <w:r>
        <w:rPr>
          <w:rFonts w:hint="eastAsia" w:ascii="仿宋" w:hAnsi="仿宋" w:eastAsia="仿宋" w:cs="仿宋"/>
          <w:b/>
          <w:bCs/>
          <w:color w:val="auto"/>
          <w:szCs w:val="28"/>
          <w:highlight w:val="none"/>
        </w:rPr>
        <w:t>第一节 政府采购合同协议书</w:t>
      </w:r>
      <w:bookmarkEnd w:id="1"/>
    </w:p>
    <w:p w14:paraId="09C6F771">
      <w:pPr>
        <w:rPr>
          <w:rFonts w:hint="eastAsia" w:ascii="仿宋" w:hAnsi="仿宋" w:eastAsia="仿宋" w:cs="仿宋"/>
          <w:color w:val="auto"/>
          <w:highlight w:val="none"/>
        </w:rPr>
      </w:pPr>
    </w:p>
    <w:p w14:paraId="1128EE08">
      <w:pPr>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甲方（全称）：</w:t>
      </w:r>
      <w:r>
        <w:rPr>
          <w:rFonts w:hint="eastAsia" w:ascii="仿宋" w:hAnsi="仿宋" w:eastAsia="仿宋" w:cs="仿宋"/>
          <w:color w:val="auto"/>
          <w:szCs w:val="21"/>
          <w:highlight w:val="none"/>
          <w:u w:val="single"/>
        </w:rPr>
        <w:t xml:space="preserve"> 西北妇女儿童医院 </w:t>
      </w:r>
    </w:p>
    <w:p w14:paraId="56CC2E2A">
      <w:pPr>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乙方（全称）：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765BE2DD">
      <w:pPr>
        <w:pStyle w:val="4"/>
        <w:adjustRightInd w:val="0"/>
        <w:snapToGrid w:val="0"/>
        <w:spacing w:after="0" w:line="400" w:lineRule="exact"/>
        <w:ind w:left="0" w:leftChars="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依据《中华人民共和国民法典》、《中华人民共和国政府采购法》等有关的法律法规，以及本采购项目的招标文件等采购文件、乙方的《投标文件》及《中标通知书》，甲乙双方同意签订本合同。具体情况及要求如下：</w:t>
      </w:r>
    </w:p>
    <w:p w14:paraId="4CE7B23C">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项目信息</w:t>
      </w:r>
    </w:p>
    <w:p w14:paraId="3B441CF4">
      <w:pPr>
        <w:pStyle w:val="4"/>
        <w:numPr>
          <w:ilvl w:val="0"/>
          <w:numId w:val="2"/>
        </w:numPr>
        <w:adjustRightInd w:val="0"/>
        <w:snapToGrid w:val="0"/>
        <w:spacing w:after="0" w:line="480" w:lineRule="exact"/>
        <w:ind w:left="0" w:leftChars="0"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采购项目名称：</w:t>
      </w:r>
      <w:r>
        <w:rPr>
          <w:rFonts w:hint="eastAsia" w:ascii="仿宋" w:hAnsi="仿宋" w:eastAsia="仿宋" w:cs="仿宋"/>
          <w:color w:val="auto"/>
          <w:szCs w:val="21"/>
          <w:highlight w:val="none"/>
          <w:u w:val="single"/>
          <w:lang w:eastAsia="zh-CN"/>
        </w:rPr>
        <w:t>磁刺激仪、电子生物反馈等设备</w:t>
      </w:r>
      <w:r>
        <w:rPr>
          <w:rFonts w:hint="eastAsia" w:ascii="仿宋" w:hAnsi="仿宋" w:eastAsia="仿宋" w:cs="仿宋"/>
          <w:color w:val="auto"/>
          <w:szCs w:val="21"/>
          <w:highlight w:val="none"/>
          <w:u w:val="single"/>
        </w:rPr>
        <w:t xml:space="preserve">            </w:t>
      </w:r>
    </w:p>
    <w:p w14:paraId="62CD90A7">
      <w:pPr>
        <w:widowControl/>
        <w:spacing w:line="480" w:lineRule="exact"/>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采购项目编号：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67FC8E96">
      <w:pPr>
        <w:pStyle w:val="4"/>
        <w:adjustRightInd w:val="0"/>
        <w:snapToGrid w:val="0"/>
        <w:spacing w:after="0" w:line="480" w:lineRule="exact"/>
        <w:ind w:left="0" w:leftChars="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（2）采购计划编号：</w:t>
      </w:r>
      <w:r>
        <w:rPr>
          <w:rFonts w:hint="eastAsia" w:ascii="仿宋" w:hAnsi="仿宋" w:eastAsia="仿宋" w:cs="仿宋"/>
          <w:color w:val="auto"/>
          <w:szCs w:val="21"/>
          <w:highlight w:val="none"/>
          <w:u w:val="single"/>
        </w:rPr>
        <w:t xml:space="preserve">政采-省本级-2025-21415                    </w:t>
      </w:r>
      <w:r>
        <w:rPr>
          <w:rFonts w:hint="eastAsia" w:ascii="仿宋" w:hAnsi="仿宋" w:eastAsia="仿宋" w:cs="仿宋"/>
          <w:color w:val="auto"/>
          <w:szCs w:val="21"/>
          <w:highlight w:val="none"/>
        </w:rPr>
        <w:t xml:space="preserve"> </w:t>
      </w:r>
    </w:p>
    <w:p w14:paraId="2635ADC8">
      <w:pPr>
        <w:adjustRightInd w:val="0"/>
        <w:snapToGri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（3）项目内容：  </w:t>
      </w:r>
    </w:p>
    <w:tbl>
      <w:tblPr>
        <w:tblStyle w:val="9"/>
        <w:tblW w:w="9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1673"/>
        <w:gridCol w:w="990"/>
        <w:gridCol w:w="1485"/>
        <w:gridCol w:w="915"/>
        <w:gridCol w:w="1005"/>
        <w:gridCol w:w="1380"/>
        <w:gridCol w:w="1410"/>
      </w:tblGrid>
      <w:tr w14:paraId="078B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3" w:type="dxa"/>
          </w:tcPr>
          <w:p w14:paraId="2DE09BAE">
            <w:pPr>
              <w:adjustRightInd w:val="0"/>
              <w:snapToGrid w:val="0"/>
              <w:spacing w:line="400" w:lineRule="exact"/>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673" w:type="dxa"/>
          </w:tcPr>
          <w:p w14:paraId="2075607B">
            <w:pPr>
              <w:adjustRightInd w:val="0"/>
              <w:snapToGrid w:val="0"/>
              <w:spacing w:line="40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名称</w:t>
            </w:r>
          </w:p>
        </w:tc>
        <w:tc>
          <w:tcPr>
            <w:tcW w:w="990" w:type="dxa"/>
          </w:tcPr>
          <w:p w14:paraId="096205BD">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品牌</w:t>
            </w:r>
          </w:p>
        </w:tc>
        <w:tc>
          <w:tcPr>
            <w:tcW w:w="1485" w:type="dxa"/>
          </w:tcPr>
          <w:p w14:paraId="42AB45E1">
            <w:pPr>
              <w:adjustRightInd w:val="0"/>
              <w:snapToGrid w:val="0"/>
              <w:spacing w:line="400" w:lineRule="exact"/>
              <w:ind w:firstLine="211" w:firstLineChars="1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规格型号</w:t>
            </w:r>
          </w:p>
        </w:tc>
        <w:tc>
          <w:tcPr>
            <w:tcW w:w="915" w:type="dxa"/>
          </w:tcPr>
          <w:p w14:paraId="5C826FBF">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单位</w:t>
            </w:r>
          </w:p>
        </w:tc>
        <w:tc>
          <w:tcPr>
            <w:tcW w:w="1005" w:type="dxa"/>
          </w:tcPr>
          <w:p w14:paraId="0F2DF54C">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数量</w:t>
            </w:r>
          </w:p>
        </w:tc>
        <w:tc>
          <w:tcPr>
            <w:tcW w:w="1380" w:type="dxa"/>
          </w:tcPr>
          <w:p w14:paraId="3D0D01BA">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单价（元）</w:t>
            </w:r>
          </w:p>
        </w:tc>
        <w:tc>
          <w:tcPr>
            <w:tcW w:w="1410" w:type="dxa"/>
          </w:tcPr>
          <w:p w14:paraId="7C745FFD">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合计（元）</w:t>
            </w:r>
          </w:p>
        </w:tc>
      </w:tr>
      <w:tr w14:paraId="381E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14:paraId="2176B9C9">
            <w:pPr>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673" w:type="dxa"/>
          </w:tcPr>
          <w:p w14:paraId="63E4669A">
            <w:pPr>
              <w:adjustRightInd w:val="0"/>
              <w:snapToGrid w:val="0"/>
              <w:spacing w:line="400" w:lineRule="exact"/>
              <w:rPr>
                <w:rFonts w:hint="eastAsia" w:ascii="仿宋" w:hAnsi="仿宋" w:eastAsia="仿宋" w:cs="仿宋"/>
                <w:color w:val="auto"/>
                <w:szCs w:val="21"/>
                <w:highlight w:val="none"/>
              </w:rPr>
            </w:pPr>
          </w:p>
        </w:tc>
        <w:tc>
          <w:tcPr>
            <w:tcW w:w="990" w:type="dxa"/>
          </w:tcPr>
          <w:p w14:paraId="421475AE">
            <w:pPr>
              <w:adjustRightInd w:val="0"/>
              <w:snapToGrid w:val="0"/>
              <w:spacing w:line="400" w:lineRule="exact"/>
              <w:rPr>
                <w:rFonts w:hint="eastAsia" w:ascii="仿宋" w:hAnsi="仿宋" w:eastAsia="仿宋" w:cs="仿宋"/>
                <w:color w:val="auto"/>
                <w:szCs w:val="21"/>
                <w:highlight w:val="none"/>
              </w:rPr>
            </w:pPr>
          </w:p>
        </w:tc>
        <w:tc>
          <w:tcPr>
            <w:tcW w:w="1485" w:type="dxa"/>
          </w:tcPr>
          <w:p w14:paraId="10E38435">
            <w:pPr>
              <w:adjustRightInd w:val="0"/>
              <w:snapToGrid w:val="0"/>
              <w:spacing w:line="400" w:lineRule="exact"/>
              <w:ind w:firstLine="420" w:firstLineChars="200"/>
              <w:rPr>
                <w:rFonts w:hint="eastAsia" w:ascii="仿宋" w:hAnsi="仿宋" w:eastAsia="仿宋" w:cs="仿宋"/>
                <w:color w:val="auto"/>
                <w:szCs w:val="21"/>
                <w:highlight w:val="none"/>
              </w:rPr>
            </w:pPr>
          </w:p>
        </w:tc>
        <w:tc>
          <w:tcPr>
            <w:tcW w:w="915" w:type="dxa"/>
          </w:tcPr>
          <w:p w14:paraId="3A451E19">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005" w:type="dxa"/>
          </w:tcPr>
          <w:p w14:paraId="393E6DD6">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380" w:type="dxa"/>
          </w:tcPr>
          <w:p w14:paraId="36EB6556">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410" w:type="dxa"/>
          </w:tcPr>
          <w:p w14:paraId="391511A1">
            <w:pPr>
              <w:adjustRightInd w:val="0"/>
              <w:snapToGrid w:val="0"/>
              <w:spacing w:line="400" w:lineRule="exact"/>
              <w:ind w:firstLine="420" w:firstLineChars="200"/>
              <w:rPr>
                <w:rFonts w:hint="eastAsia" w:ascii="仿宋" w:hAnsi="仿宋" w:eastAsia="仿宋" w:cs="仿宋"/>
                <w:color w:val="auto"/>
                <w:szCs w:val="21"/>
                <w:highlight w:val="none"/>
              </w:rPr>
            </w:pPr>
          </w:p>
        </w:tc>
      </w:tr>
      <w:tr w14:paraId="2A93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93" w:type="dxa"/>
          </w:tcPr>
          <w:p w14:paraId="290B1A37">
            <w:pPr>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673" w:type="dxa"/>
          </w:tcPr>
          <w:p w14:paraId="44F2861F">
            <w:pPr>
              <w:adjustRightInd w:val="0"/>
              <w:snapToGrid w:val="0"/>
              <w:spacing w:line="400" w:lineRule="exact"/>
              <w:rPr>
                <w:rFonts w:hint="eastAsia" w:ascii="仿宋" w:hAnsi="仿宋" w:eastAsia="仿宋" w:cs="仿宋"/>
                <w:color w:val="auto"/>
                <w:szCs w:val="21"/>
                <w:highlight w:val="none"/>
              </w:rPr>
            </w:pPr>
          </w:p>
        </w:tc>
        <w:tc>
          <w:tcPr>
            <w:tcW w:w="990" w:type="dxa"/>
          </w:tcPr>
          <w:p w14:paraId="6C306BBC">
            <w:pPr>
              <w:adjustRightInd w:val="0"/>
              <w:snapToGrid w:val="0"/>
              <w:spacing w:line="400" w:lineRule="exact"/>
              <w:rPr>
                <w:rFonts w:hint="eastAsia" w:ascii="仿宋" w:hAnsi="仿宋" w:eastAsia="仿宋" w:cs="仿宋"/>
                <w:color w:val="auto"/>
                <w:szCs w:val="21"/>
                <w:highlight w:val="none"/>
              </w:rPr>
            </w:pPr>
          </w:p>
        </w:tc>
        <w:tc>
          <w:tcPr>
            <w:tcW w:w="1485" w:type="dxa"/>
          </w:tcPr>
          <w:p w14:paraId="555D5071">
            <w:pPr>
              <w:adjustRightInd w:val="0"/>
              <w:snapToGrid w:val="0"/>
              <w:spacing w:line="400" w:lineRule="exact"/>
              <w:ind w:firstLine="420" w:firstLineChars="200"/>
              <w:rPr>
                <w:rFonts w:hint="eastAsia" w:ascii="仿宋" w:hAnsi="仿宋" w:eastAsia="仿宋" w:cs="仿宋"/>
                <w:color w:val="auto"/>
                <w:szCs w:val="21"/>
                <w:highlight w:val="none"/>
              </w:rPr>
            </w:pPr>
          </w:p>
        </w:tc>
        <w:tc>
          <w:tcPr>
            <w:tcW w:w="915" w:type="dxa"/>
          </w:tcPr>
          <w:p w14:paraId="0ACACC2B">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005" w:type="dxa"/>
          </w:tcPr>
          <w:p w14:paraId="60E2DF23">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380" w:type="dxa"/>
          </w:tcPr>
          <w:p w14:paraId="5A0DC346">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410" w:type="dxa"/>
          </w:tcPr>
          <w:p w14:paraId="2D74A822">
            <w:pPr>
              <w:adjustRightInd w:val="0"/>
              <w:snapToGrid w:val="0"/>
              <w:spacing w:line="400" w:lineRule="exact"/>
              <w:ind w:firstLine="420" w:firstLineChars="200"/>
              <w:rPr>
                <w:rFonts w:hint="eastAsia" w:ascii="仿宋" w:hAnsi="仿宋" w:eastAsia="仿宋" w:cs="仿宋"/>
                <w:color w:val="auto"/>
                <w:szCs w:val="21"/>
                <w:highlight w:val="none"/>
              </w:rPr>
            </w:pPr>
          </w:p>
        </w:tc>
      </w:tr>
      <w:tr w14:paraId="42FF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93" w:type="dxa"/>
          </w:tcPr>
          <w:p w14:paraId="50FECDC5">
            <w:pPr>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673" w:type="dxa"/>
          </w:tcPr>
          <w:p w14:paraId="3C97B09F">
            <w:pPr>
              <w:adjustRightInd w:val="0"/>
              <w:snapToGrid w:val="0"/>
              <w:spacing w:line="400" w:lineRule="exact"/>
              <w:rPr>
                <w:rFonts w:hint="eastAsia" w:ascii="仿宋" w:hAnsi="仿宋" w:eastAsia="仿宋" w:cs="仿宋"/>
                <w:color w:val="auto"/>
                <w:szCs w:val="21"/>
                <w:highlight w:val="none"/>
              </w:rPr>
            </w:pPr>
          </w:p>
        </w:tc>
        <w:tc>
          <w:tcPr>
            <w:tcW w:w="990" w:type="dxa"/>
          </w:tcPr>
          <w:p w14:paraId="5FE2F5B0">
            <w:pPr>
              <w:adjustRightInd w:val="0"/>
              <w:snapToGrid w:val="0"/>
              <w:spacing w:line="400" w:lineRule="exact"/>
              <w:rPr>
                <w:rFonts w:hint="eastAsia" w:ascii="仿宋" w:hAnsi="仿宋" w:eastAsia="仿宋" w:cs="仿宋"/>
                <w:color w:val="auto"/>
                <w:szCs w:val="21"/>
                <w:highlight w:val="none"/>
              </w:rPr>
            </w:pPr>
          </w:p>
        </w:tc>
        <w:tc>
          <w:tcPr>
            <w:tcW w:w="1485" w:type="dxa"/>
          </w:tcPr>
          <w:p w14:paraId="539D575B">
            <w:pPr>
              <w:adjustRightInd w:val="0"/>
              <w:snapToGrid w:val="0"/>
              <w:spacing w:line="400" w:lineRule="exact"/>
              <w:ind w:firstLine="420" w:firstLineChars="200"/>
              <w:rPr>
                <w:rFonts w:hint="eastAsia" w:ascii="仿宋" w:hAnsi="仿宋" w:eastAsia="仿宋" w:cs="仿宋"/>
                <w:color w:val="auto"/>
                <w:szCs w:val="21"/>
                <w:highlight w:val="none"/>
              </w:rPr>
            </w:pPr>
          </w:p>
        </w:tc>
        <w:tc>
          <w:tcPr>
            <w:tcW w:w="915" w:type="dxa"/>
          </w:tcPr>
          <w:p w14:paraId="707CF6D2">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005" w:type="dxa"/>
          </w:tcPr>
          <w:p w14:paraId="16828FDC">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380" w:type="dxa"/>
          </w:tcPr>
          <w:p w14:paraId="2265F7EC">
            <w:pPr>
              <w:adjustRightInd w:val="0"/>
              <w:snapToGrid w:val="0"/>
              <w:spacing w:line="400" w:lineRule="exact"/>
              <w:ind w:firstLine="420" w:firstLineChars="200"/>
              <w:rPr>
                <w:rFonts w:hint="eastAsia" w:ascii="仿宋" w:hAnsi="仿宋" w:eastAsia="仿宋" w:cs="仿宋"/>
                <w:color w:val="auto"/>
                <w:szCs w:val="21"/>
                <w:highlight w:val="none"/>
              </w:rPr>
            </w:pPr>
          </w:p>
        </w:tc>
        <w:tc>
          <w:tcPr>
            <w:tcW w:w="1410" w:type="dxa"/>
          </w:tcPr>
          <w:p w14:paraId="53D3C60E">
            <w:pPr>
              <w:adjustRightInd w:val="0"/>
              <w:snapToGrid w:val="0"/>
              <w:spacing w:line="400" w:lineRule="exact"/>
              <w:ind w:firstLine="420" w:firstLineChars="200"/>
              <w:rPr>
                <w:rFonts w:hint="eastAsia" w:ascii="仿宋" w:hAnsi="仿宋" w:eastAsia="仿宋" w:cs="仿宋"/>
                <w:color w:val="auto"/>
                <w:szCs w:val="21"/>
                <w:highlight w:val="none"/>
              </w:rPr>
            </w:pPr>
          </w:p>
        </w:tc>
      </w:tr>
      <w:tr w14:paraId="35282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66" w:type="dxa"/>
            <w:gridSpan w:val="2"/>
          </w:tcPr>
          <w:p w14:paraId="54E60473">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合计（元）</w:t>
            </w:r>
          </w:p>
        </w:tc>
        <w:tc>
          <w:tcPr>
            <w:tcW w:w="7185" w:type="dxa"/>
            <w:gridSpan w:val="6"/>
          </w:tcPr>
          <w:p w14:paraId="78A33683">
            <w:pPr>
              <w:adjustRightInd w:val="0"/>
              <w:snapToGrid w:val="0"/>
              <w:spacing w:line="40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小写：¥</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，大写：人民币</w:t>
            </w:r>
            <w:r>
              <w:rPr>
                <w:rFonts w:hint="eastAsia" w:ascii="仿宋" w:hAnsi="仿宋" w:eastAsia="仿宋" w:cs="仿宋"/>
                <w:color w:val="auto"/>
                <w:szCs w:val="21"/>
                <w:highlight w:val="none"/>
                <w:lang w:val="en-US" w:eastAsia="zh-CN"/>
              </w:rPr>
              <w:t xml:space="preserve">           </w:t>
            </w:r>
          </w:p>
        </w:tc>
      </w:tr>
    </w:tbl>
    <w:p w14:paraId="7E51EA4E">
      <w:pPr>
        <w:pStyle w:val="11"/>
        <w:numPr>
          <w:ilvl w:val="255"/>
          <w:numId w:val="0"/>
        </w:numPr>
        <w:snapToGrid w:val="0"/>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w:t>
      </w:r>
      <w:r>
        <w:rPr>
          <w:rFonts w:hint="eastAsia" w:ascii="仿宋" w:hAnsi="仿宋" w:eastAsia="仿宋" w:cs="仿宋"/>
          <w:color w:val="auto"/>
          <w:sz w:val="21"/>
          <w:highlight w:val="none"/>
          <w:lang w:val="en"/>
        </w:rPr>
        <w:t>4</w:t>
      </w:r>
      <w:r>
        <w:rPr>
          <w:rFonts w:hint="eastAsia" w:ascii="仿宋" w:hAnsi="仿宋" w:eastAsia="仿宋" w:cs="仿宋"/>
          <w:color w:val="auto"/>
          <w:sz w:val="21"/>
          <w:highlight w:val="none"/>
        </w:rPr>
        <w:t>）政府采购组织形式：</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政府集中采购  </w:t>
      </w:r>
      <w:r>
        <w:rPr>
          <w:rFonts w:hint="eastAsia" w:ascii="仿宋" w:hAnsi="仿宋" w:eastAsia="仿宋" w:cs="仿宋"/>
          <w:color w:val="auto"/>
          <w:sz w:val="21"/>
          <w:highlight w:val="none"/>
        </w:rPr>
        <w:sym w:font="Wingdings" w:char="00FE"/>
      </w:r>
      <w:r>
        <w:rPr>
          <w:rFonts w:hint="eastAsia" w:ascii="仿宋" w:hAnsi="仿宋" w:eastAsia="仿宋" w:cs="仿宋"/>
          <w:color w:val="auto"/>
          <w:sz w:val="21"/>
          <w:highlight w:val="none"/>
        </w:rPr>
        <w:t xml:space="preserve">部门集中采购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分散采购</w:t>
      </w:r>
    </w:p>
    <w:p w14:paraId="53A0F5CF">
      <w:pPr>
        <w:pStyle w:val="11"/>
        <w:numPr>
          <w:ilvl w:val="255"/>
          <w:numId w:val="0"/>
        </w:numPr>
        <w:snapToGrid w:val="0"/>
        <w:ind w:firstLine="420"/>
        <w:rPr>
          <w:rFonts w:hint="eastAsia" w:ascii="仿宋" w:hAnsi="仿宋" w:eastAsia="仿宋" w:cs="仿宋"/>
          <w:color w:val="auto"/>
          <w:sz w:val="21"/>
          <w:highlight w:val="none"/>
        </w:rPr>
      </w:pPr>
      <w:r>
        <w:rPr>
          <w:rFonts w:hint="eastAsia" w:ascii="仿宋" w:hAnsi="仿宋" w:eastAsia="仿宋" w:cs="仿宋"/>
          <w:color w:val="auto"/>
          <w:sz w:val="21"/>
          <w:highlight w:val="none"/>
        </w:rPr>
        <w:t>（</w:t>
      </w:r>
      <w:r>
        <w:rPr>
          <w:rFonts w:hint="eastAsia" w:ascii="仿宋" w:hAnsi="仿宋" w:eastAsia="仿宋" w:cs="仿宋"/>
          <w:color w:val="auto"/>
          <w:sz w:val="21"/>
          <w:highlight w:val="none"/>
          <w:lang w:val="en"/>
        </w:rPr>
        <w:t>5</w:t>
      </w:r>
      <w:r>
        <w:rPr>
          <w:rFonts w:hint="eastAsia" w:ascii="仿宋" w:hAnsi="仿宋" w:eastAsia="仿宋" w:cs="仿宋"/>
          <w:color w:val="auto"/>
          <w:sz w:val="21"/>
          <w:highlight w:val="none"/>
        </w:rPr>
        <w:t>）政府采购方式：</w:t>
      </w:r>
      <w:r>
        <w:rPr>
          <w:rFonts w:hint="eastAsia" w:ascii="仿宋" w:hAnsi="仿宋" w:eastAsia="仿宋" w:cs="仿宋"/>
          <w:color w:val="auto"/>
          <w:sz w:val="21"/>
          <w:highlight w:val="none"/>
        </w:rPr>
        <w:sym w:font="Wingdings" w:char="00FE"/>
      </w:r>
      <w:r>
        <w:rPr>
          <w:rFonts w:hint="eastAsia" w:ascii="仿宋" w:hAnsi="仿宋" w:eastAsia="仿宋" w:cs="仿宋"/>
          <w:color w:val="auto"/>
          <w:sz w:val="21"/>
          <w:highlight w:val="none"/>
        </w:rPr>
        <w:t xml:space="preserve">公开招标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邀请招标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竞争性谈判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竞争性磋商</w:t>
      </w:r>
    </w:p>
    <w:p w14:paraId="57167EE6">
      <w:pPr>
        <w:pStyle w:val="11"/>
        <w:numPr>
          <w:ilvl w:val="255"/>
          <w:numId w:val="0"/>
        </w:numPr>
        <w:snapToGrid w:val="0"/>
        <w:ind w:firstLine="420"/>
        <w:rPr>
          <w:rFonts w:hint="eastAsia" w:ascii="仿宋" w:hAnsi="仿宋" w:eastAsia="仿宋" w:cs="仿宋"/>
          <w:color w:val="auto"/>
          <w:sz w:val="21"/>
          <w:highlight w:val="none"/>
          <w:u w:val="single"/>
        </w:rPr>
      </w:pPr>
      <w:r>
        <w:rPr>
          <w:rFonts w:hint="eastAsia" w:ascii="仿宋" w:hAnsi="仿宋" w:eastAsia="仿宋" w:cs="仿宋"/>
          <w:color w:val="auto"/>
          <w:highlight w:val="none"/>
        </w:rPr>
        <w:t xml:space="preserve">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询价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单一来源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框架协议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其他：</w:t>
      </w:r>
      <w:r>
        <w:rPr>
          <w:rFonts w:hint="eastAsia" w:ascii="仿宋" w:hAnsi="仿宋" w:eastAsia="仿宋" w:cs="仿宋"/>
          <w:color w:val="auto"/>
          <w:sz w:val="21"/>
          <w:highlight w:val="none"/>
          <w:u w:val="single"/>
        </w:rPr>
        <w:t xml:space="preserve">          </w:t>
      </w:r>
    </w:p>
    <w:p w14:paraId="49802B3D">
      <w:pPr>
        <w:pStyle w:val="11"/>
        <w:numPr>
          <w:ilvl w:val="255"/>
          <w:numId w:val="0"/>
        </w:numPr>
        <w:snapToGrid w:val="0"/>
        <w:ind w:firstLine="220" w:firstLineChars="100"/>
        <w:rPr>
          <w:rFonts w:hint="eastAsia" w:ascii="仿宋" w:hAnsi="仿宋" w:eastAsia="仿宋" w:cs="仿宋"/>
          <w:color w:val="auto"/>
          <w:kern w:val="2"/>
          <w:sz w:val="21"/>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
        </w:rPr>
        <w:t>6</w:t>
      </w:r>
      <w:r>
        <w:rPr>
          <w:rFonts w:hint="eastAsia" w:ascii="仿宋" w:hAnsi="仿宋" w:eastAsia="仿宋" w:cs="仿宋"/>
          <w:color w:val="auto"/>
          <w:highlight w:val="none"/>
        </w:rPr>
        <w:t>）</w:t>
      </w:r>
      <w:r>
        <w:rPr>
          <w:rFonts w:hint="eastAsia" w:ascii="仿宋" w:hAnsi="仿宋" w:eastAsia="仿宋" w:cs="仿宋"/>
          <w:color w:val="auto"/>
          <w:kern w:val="2"/>
          <w:sz w:val="21"/>
          <w:highlight w:val="none"/>
        </w:rPr>
        <w:t>中标（成交）采购标的制造商是否为中小企业：</w:t>
      </w:r>
      <w:r>
        <w:rPr>
          <w:rFonts w:hint="eastAsia" w:ascii="仿宋" w:hAnsi="仿宋" w:eastAsia="仿宋" w:cs="仿宋"/>
          <w:color w:val="auto"/>
          <w:kern w:val="2"/>
          <w:sz w:val="21"/>
          <w:highlight w:val="none"/>
        </w:rPr>
        <w:sym w:font="Wingdings" w:char="00A8"/>
      </w:r>
      <w:r>
        <w:rPr>
          <w:rFonts w:hint="eastAsia" w:ascii="仿宋" w:hAnsi="仿宋" w:eastAsia="仿宋" w:cs="仿宋"/>
          <w:color w:val="auto"/>
          <w:kern w:val="2"/>
          <w:sz w:val="21"/>
          <w:highlight w:val="none"/>
        </w:rPr>
        <w:t xml:space="preserve">是      </w:t>
      </w:r>
      <w:r>
        <w:rPr>
          <w:rFonts w:hint="eastAsia" w:ascii="仿宋" w:hAnsi="仿宋" w:eastAsia="仿宋" w:cs="仿宋"/>
          <w:color w:val="auto"/>
          <w:kern w:val="2"/>
          <w:sz w:val="21"/>
          <w:highlight w:val="none"/>
        </w:rPr>
        <w:sym w:font="Wingdings" w:char="00A8"/>
      </w:r>
      <w:r>
        <w:rPr>
          <w:rFonts w:hint="eastAsia" w:ascii="仿宋" w:hAnsi="仿宋" w:eastAsia="仿宋" w:cs="仿宋"/>
          <w:color w:val="auto"/>
          <w:kern w:val="2"/>
          <w:sz w:val="21"/>
          <w:highlight w:val="none"/>
        </w:rPr>
        <w:t>否</w:t>
      </w:r>
    </w:p>
    <w:p w14:paraId="689E8266">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szCs w:val="21"/>
          <w:highlight w:val="none"/>
        </w:rPr>
        <w:t xml:space="preserve">         本合同是否为专门面向中小企业的采购合同（中小企业预留合同）：</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否</w:t>
      </w:r>
    </w:p>
    <w:p w14:paraId="37B17679">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highlight w:val="none"/>
        </w:rPr>
        <w:t xml:space="preserve">         若本项目不专门面向中小企业采购，是否给予小微企业评审优惠：</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17FE5D60">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highlight w:val="none"/>
        </w:rPr>
        <w:t xml:space="preserve">         中标（成交）采购标的制造商是否为残疾人福利性单位：</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3EA2DFBE">
      <w:pPr>
        <w:snapToGrid w:val="0"/>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中标（成交）采购标的制造商是否为监狱企业：</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2C3EBAA6">
      <w:pPr>
        <w:adjustRightInd w:val="0"/>
        <w:snapToGrid w:val="0"/>
        <w:spacing w:line="4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
        </w:rPr>
        <w:t>7</w:t>
      </w:r>
      <w:r>
        <w:rPr>
          <w:rFonts w:hint="eastAsia" w:ascii="仿宋" w:hAnsi="仿宋" w:eastAsia="仿宋" w:cs="仿宋"/>
          <w:color w:val="auto"/>
          <w:szCs w:val="21"/>
          <w:highlight w:val="none"/>
        </w:rPr>
        <w:t>）合同是否分包：</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否</w:t>
      </w:r>
    </w:p>
    <w:p w14:paraId="31BAB575">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
        </w:rPr>
        <w:t>8</w:t>
      </w:r>
      <w:r>
        <w:rPr>
          <w:rFonts w:hint="eastAsia" w:ascii="仿宋" w:hAnsi="仿宋" w:eastAsia="仿宋" w:cs="仿宋"/>
          <w:color w:val="auto"/>
          <w:szCs w:val="21"/>
          <w:highlight w:val="none"/>
        </w:rPr>
        <w:t>）中标（成交）供应商是否为外商投资企业：</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14F6B379">
      <w:pPr>
        <w:pStyle w:val="11"/>
        <w:tabs>
          <w:tab w:val="left" w:pos="1340"/>
        </w:tabs>
        <w:ind w:firstLine="42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rPr>
        <w:t xml:space="preserve">     外商投资企业类型：</w:t>
      </w:r>
      <w:r>
        <w:rPr>
          <w:rFonts w:hint="eastAsia" w:ascii="仿宋" w:hAnsi="仿宋" w:eastAsia="仿宋" w:cs="仿宋"/>
          <w:iCs/>
          <w:color w:val="auto"/>
          <w:sz w:val="21"/>
          <w:highlight w:val="none"/>
        </w:rPr>
        <w:sym w:font="Wingdings" w:char="00A8"/>
      </w:r>
      <w:r>
        <w:rPr>
          <w:rFonts w:hint="eastAsia" w:ascii="仿宋" w:hAnsi="仿宋" w:eastAsia="仿宋" w:cs="仿宋"/>
          <w:color w:val="auto"/>
          <w:sz w:val="21"/>
          <w:highlight w:val="none"/>
        </w:rPr>
        <w:t xml:space="preserve">全部由外国投资者投资  </w:t>
      </w:r>
      <w:r>
        <w:rPr>
          <w:rFonts w:hint="eastAsia" w:ascii="仿宋" w:hAnsi="仿宋" w:eastAsia="仿宋" w:cs="仿宋"/>
          <w:iCs/>
          <w:color w:val="auto"/>
          <w:sz w:val="21"/>
          <w:highlight w:val="none"/>
        </w:rPr>
        <w:sym w:font="Wingdings" w:char="00A8"/>
      </w:r>
      <w:r>
        <w:rPr>
          <w:rFonts w:hint="eastAsia" w:ascii="仿宋" w:hAnsi="仿宋" w:eastAsia="仿宋" w:cs="仿宋"/>
          <w:iCs/>
          <w:color w:val="auto"/>
          <w:sz w:val="21"/>
          <w:highlight w:val="none"/>
        </w:rPr>
        <w:t>部分由外国投资者投资</w:t>
      </w:r>
    </w:p>
    <w:p w14:paraId="70DA6BF0">
      <w:pPr>
        <w:numPr>
          <w:ilvl w:val="255"/>
          <w:numId w:val="0"/>
        </w:num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
        </w:rPr>
        <w:t>9</w:t>
      </w:r>
      <w:r>
        <w:rPr>
          <w:rFonts w:hint="eastAsia" w:ascii="仿宋" w:hAnsi="仿宋" w:eastAsia="仿宋" w:cs="仿宋"/>
          <w:color w:val="auto"/>
          <w:szCs w:val="21"/>
          <w:highlight w:val="none"/>
        </w:rPr>
        <w:t>）是否涉及进口产品：</w:t>
      </w:r>
    </w:p>
    <w:p w14:paraId="405C8208">
      <w:pPr>
        <w:numPr>
          <w:ilvl w:val="255"/>
          <w:numId w:val="0"/>
        </w:numPr>
        <w:adjustRightInd w:val="0"/>
        <w:snapToGrid w:val="0"/>
        <w:spacing w:line="400" w:lineRule="exact"/>
        <w:ind w:firstLine="840" w:firstLineChars="4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是，《政府采购品目分类目录》底级品目名称：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金额：</w:t>
      </w:r>
      <w:r>
        <w:rPr>
          <w:rFonts w:hint="eastAsia" w:ascii="仿宋" w:hAnsi="仿宋" w:eastAsia="仿宋" w:cs="仿宋"/>
          <w:color w:val="auto"/>
          <w:szCs w:val="21"/>
          <w:highlight w:val="none"/>
          <w:u w:val="single"/>
        </w:rPr>
        <w:t xml:space="preserve">        </w:t>
      </w:r>
    </w:p>
    <w:p w14:paraId="60CB9614">
      <w:pPr>
        <w:numPr>
          <w:ilvl w:val="255"/>
          <w:numId w:val="0"/>
        </w:numPr>
        <w:adjustRightInd w:val="0"/>
        <w:snapToGrid w:val="0"/>
        <w:spacing w:line="400" w:lineRule="exact"/>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国别：</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品牌：</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规格型号：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5EA08A75">
      <w:pPr>
        <w:adjustRightInd w:val="0"/>
        <w:snapToGrid w:val="0"/>
        <w:spacing w:line="400" w:lineRule="exact"/>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691C8167">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w:t>
      </w:r>
      <w:r>
        <w:rPr>
          <w:rFonts w:hint="eastAsia" w:ascii="仿宋" w:hAnsi="仿宋" w:eastAsia="仿宋" w:cs="仿宋"/>
          <w:color w:val="auto"/>
          <w:szCs w:val="21"/>
          <w:highlight w:val="none"/>
          <w:lang w:val="en"/>
        </w:rPr>
        <w:t>0</w:t>
      </w:r>
      <w:r>
        <w:rPr>
          <w:rFonts w:hint="eastAsia" w:ascii="仿宋" w:hAnsi="仿宋" w:eastAsia="仿宋" w:cs="仿宋"/>
          <w:color w:val="auto"/>
          <w:szCs w:val="21"/>
          <w:highlight w:val="none"/>
        </w:rPr>
        <w:t>）是否涉及节能产品：</w:t>
      </w:r>
    </w:p>
    <w:p w14:paraId="3EEDF5C8">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是，《节能产品政府采购品目清单》的底级品目名称：</w:t>
      </w:r>
      <w:r>
        <w:rPr>
          <w:rFonts w:hint="eastAsia" w:ascii="仿宋" w:hAnsi="仿宋" w:eastAsia="仿宋" w:cs="仿宋"/>
          <w:color w:val="auto"/>
          <w:szCs w:val="21"/>
          <w:highlight w:val="none"/>
          <w:u w:val="single"/>
        </w:rPr>
        <w:t xml:space="preserve">         </w:t>
      </w:r>
      <w:r>
        <w:rPr>
          <w:rFonts w:hint="eastAsia" w:ascii="仿宋" w:hAnsi="仿宋" w:eastAsia="仿宋" w:cs="仿宋"/>
          <w:iCs/>
          <w:color w:val="auto"/>
          <w:szCs w:val="21"/>
          <w:highlight w:val="none"/>
        </w:rPr>
        <w:t xml:space="preserve">     </w:t>
      </w:r>
    </w:p>
    <w:p w14:paraId="4179D8BE">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强制采购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优先采购    </w:t>
      </w:r>
    </w:p>
    <w:p w14:paraId="198B7AC4">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20A87F86">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是否涉及环境标志产品：</w:t>
      </w:r>
    </w:p>
    <w:p w14:paraId="136499DB">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是，《环境标志产品政府采购品目清单》的底级品目名称：</w:t>
      </w:r>
      <w:r>
        <w:rPr>
          <w:rFonts w:hint="eastAsia" w:ascii="仿宋" w:hAnsi="仿宋" w:eastAsia="仿宋" w:cs="仿宋"/>
          <w:color w:val="auto"/>
          <w:szCs w:val="21"/>
          <w:highlight w:val="none"/>
          <w:u w:val="single"/>
        </w:rPr>
        <w:t xml:space="preserve">         </w:t>
      </w:r>
      <w:r>
        <w:rPr>
          <w:rFonts w:hint="eastAsia" w:ascii="仿宋" w:hAnsi="仿宋" w:eastAsia="仿宋" w:cs="仿宋"/>
          <w:iCs/>
          <w:color w:val="auto"/>
          <w:szCs w:val="21"/>
          <w:highlight w:val="none"/>
        </w:rPr>
        <w:t xml:space="preserve"> </w:t>
      </w:r>
    </w:p>
    <w:p w14:paraId="5F77E976">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强制采购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优先采购    </w:t>
      </w:r>
    </w:p>
    <w:p w14:paraId="7319C111">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045C7F92">
      <w:pPr>
        <w:pStyle w:val="11"/>
        <w:numPr>
          <w:ilvl w:val="255"/>
          <w:numId w:val="0"/>
        </w:numPr>
        <w:snapToGrid w:val="0"/>
        <w:rPr>
          <w:rFonts w:hint="eastAsia" w:ascii="仿宋" w:hAnsi="仿宋" w:eastAsia="仿宋" w:cs="仿宋"/>
          <w:color w:val="auto"/>
          <w:kern w:val="2"/>
          <w:sz w:val="21"/>
          <w:highlight w:val="none"/>
        </w:rPr>
      </w:pPr>
      <w:r>
        <w:rPr>
          <w:rFonts w:hint="eastAsia" w:ascii="仿宋" w:hAnsi="仿宋" w:eastAsia="仿宋" w:cs="仿宋"/>
          <w:color w:val="auto"/>
          <w:sz w:val="21"/>
          <w:highlight w:val="none"/>
        </w:rPr>
        <w:t xml:space="preserve">          </w:t>
      </w:r>
      <w:r>
        <w:rPr>
          <w:rFonts w:hint="eastAsia" w:ascii="仿宋" w:hAnsi="仿宋" w:eastAsia="仿宋" w:cs="仿宋"/>
          <w:color w:val="auto"/>
          <w:kern w:val="2"/>
          <w:sz w:val="21"/>
          <w:highlight w:val="none"/>
        </w:rPr>
        <w:t>是否涉及绿色产品：</w:t>
      </w:r>
    </w:p>
    <w:p w14:paraId="43BCAF1B">
      <w:pPr>
        <w:pStyle w:val="11"/>
        <w:ind w:firstLine="420" w:firstLineChars="0"/>
        <w:rPr>
          <w:rFonts w:hint="eastAsia" w:ascii="仿宋" w:hAnsi="仿宋" w:eastAsia="仿宋" w:cs="仿宋"/>
          <w:color w:val="auto"/>
          <w:highlight w:val="none"/>
          <w:u w:val="single"/>
        </w:rPr>
      </w:pPr>
      <w:r>
        <w:rPr>
          <w:rFonts w:hint="eastAsia" w:ascii="仿宋" w:hAnsi="仿宋" w:eastAsia="仿宋" w:cs="仿宋"/>
          <w:color w:val="auto"/>
          <w:kern w:val="2"/>
          <w:sz w:val="21"/>
          <w:highlight w:val="none"/>
        </w:rPr>
        <w:t xml:space="preserve">     </w:t>
      </w:r>
      <w:r>
        <w:rPr>
          <w:rFonts w:hint="eastAsia" w:ascii="仿宋" w:hAnsi="仿宋" w:eastAsia="仿宋" w:cs="仿宋"/>
          <w:color w:val="auto"/>
          <w:kern w:val="2"/>
          <w:sz w:val="21"/>
          <w:highlight w:val="none"/>
        </w:rPr>
        <w:sym w:font="Wingdings" w:char="00A8"/>
      </w:r>
      <w:r>
        <w:rPr>
          <w:rFonts w:hint="eastAsia" w:ascii="仿宋" w:hAnsi="仿宋" w:eastAsia="仿宋" w:cs="仿宋"/>
          <w:color w:val="auto"/>
          <w:kern w:val="2"/>
          <w:sz w:val="21"/>
          <w:highlight w:val="none"/>
        </w:rPr>
        <w:t>是，绿色产品政府采购相关政策确定的底级品目名称：</w:t>
      </w:r>
      <w:r>
        <w:rPr>
          <w:rFonts w:hint="eastAsia" w:ascii="仿宋" w:hAnsi="仿宋" w:eastAsia="仿宋" w:cs="仿宋"/>
          <w:color w:val="auto"/>
          <w:highlight w:val="none"/>
          <w:u w:val="single"/>
        </w:rPr>
        <w:t xml:space="preserve">         </w:t>
      </w:r>
    </w:p>
    <w:p w14:paraId="7187B0D8">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强制采购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优先采购    </w:t>
      </w:r>
    </w:p>
    <w:p w14:paraId="26DF35B5">
      <w:pPr>
        <w:pStyle w:val="11"/>
        <w:ind w:firstLine="420" w:firstLineChars="0"/>
        <w:rPr>
          <w:rFonts w:hint="eastAsia" w:ascii="仿宋" w:hAnsi="仿宋" w:eastAsia="仿宋" w:cs="仿宋"/>
          <w:color w:val="auto"/>
          <w:sz w:val="21"/>
          <w:highlight w:val="none"/>
        </w:rPr>
      </w:pPr>
      <w:r>
        <w:rPr>
          <w:rFonts w:hint="eastAsia" w:ascii="仿宋" w:hAnsi="仿宋" w:eastAsia="仿宋" w:cs="仿宋"/>
          <w:color w:val="auto"/>
          <w:kern w:val="2"/>
          <w:sz w:val="21"/>
          <w:highlight w:val="none"/>
        </w:rPr>
        <w:t xml:space="preserve">     </w:t>
      </w:r>
      <w:r>
        <w:rPr>
          <w:rFonts w:hint="eastAsia" w:ascii="仿宋" w:hAnsi="仿宋" w:eastAsia="仿宋" w:cs="仿宋"/>
          <w:color w:val="auto"/>
          <w:kern w:val="2"/>
          <w:sz w:val="21"/>
          <w:highlight w:val="none"/>
        </w:rPr>
        <w:sym w:font="Wingdings" w:char="00FE"/>
      </w:r>
      <w:r>
        <w:rPr>
          <w:rFonts w:hint="eastAsia" w:ascii="仿宋" w:hAnsi="仿宋" w:eastAsia="仿宋" w:cs="仿宋"/>
          <w:color w:val="auto"/>
          <w:kern w:val="2"/>
          <w:sz w:val="21"/>
          <w:highlight w:val="none"/>
        </w:rPr>
        <w:t>否</w:t>
      </w:r>
    </w:p>
    <w:p w14:paraId="0BDF15CF">
      <w:pPr>
        <w:numPr>
          <w:ilvl w:val="255"/>
          <w:numId w:val="0"/>
        </w:numPr>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w:t>
      </w:r>
      <w:r>
        <w:rPr>
          <w:rFonts w:hint="eastAsia" w:ascii="仿宋" w:hAnsi="仿宋" w:eastAsia="仿宋" w:cs="仿宋"/>
          <w:color w:val="auto"/>
          <w:szCs w:val="21"/>
          <w:highlight w:val="none"/>
          <w:lang w:val="en"/>
        </w:rPr>
        <w:t>1</w:t>
      </w:r>
      <w:r>
        <w:rPr>
          <w:rFonts w:hint="eastAsia" w:ascii="仿宋" w:hAnsi="仿宋" w:eastAsia="仿宋" w:cs="仿宋"/>
          <w:color w:val="auto"/>
          <w:szCs w:val="21"/>
          <w:highlight w:val="none"/>
        </w:rPr>
        <w:t>）涉及商品包装和快递包装的，是否参考《商品包装政府采购需求标准（试行）》、《快递包装政府采购需求标准（试行）》明确产品及相关快递服务的具体包装要求：</w:t>
      </w:r>
    </w:p>
    <w:p w14:paraId="2C8962FD">
      <w:pPr>
        <w:numPr>
          <w:ilvl w:val="255"/>
          <w:numId w:val="0"/>
        </w:numPr>
        <w:adjustRightInd w:val="0"/>
        <w:snapToGrid w:val="0"/>
        <w:spacing w:line="400" w:lineRule="exact"/>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 xml:space="preserve">是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 xml:space="preserve">否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不涉及</w:t>
      </w:r>
    </w:p>
    <w:p w14:paraId="33195826">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合同金额</w:t>
      </w:r>
    </w:p>
    <w:p w14:paraId="569389EF">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（1）合同金额小写：</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48A461CD">
      <w:pPr>
        <w:widowControl/>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大写：</w:t>
      </w:r>
      <w:r>
        <w:rPr>
          <w:rFonts w:hint="eastAsia" w:ascii="仿宋" w:hAnsi="仿宋" w:eastAsia="仿宋" w:cs="仿宋"/>
          <w:color w:val="auto"/>
          <w:szCs w:val="21"/>
          <w:highlight w:val="none"/>
          <w:u w:val="single"/>
        </w:rPr>
        <w:t>人民币</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0428252F">
      <w:pPr>
        <w:numPr>
          <w:ilvl w:val="255"/>
          <w:numId w:val="0"/>
        </w:numPr>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（2）合同定价方式（采用组合定价方式的，可以勾选多项）：</w:t>
      </w:r>
    </w:p>
    <w:p w14:paraId="5731C740">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固定总价 </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 xml:space="preserve">固定单价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固定费率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成本补偿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绩效激励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其他</w:t>
      </w:r>
      <w:r>
        <w:rPr>
          <w:rFonts w:hint="eastAsia" w:ascii="仿宋" w:hAnsi="仿宋" w:eastAsia="仿宋" w:cs="仿宋"/>
          <w:color w:val="auto"/>
          <w:szCs w:val="21"/>
          <w:highlight w:val="none"/>
          <w:u w:val="single"/>
        </w:rPr>
        <w:t xml:space="preserve">       </w:t>
      </w:r>
    </w:p>
    <w:p w14:paraId="6C0BA0E1">
      <w:pPr>
        <w:pStyle w:val="12"/>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（3）付款方式（按项目实际勾选填写）：</w:t>
      </w:r>
    </w:p>
    <w:p w14:paraId="6833EB7B">
      <w:pPr>
        <w:adjustRightInd w:val="0"/>
        <w:snapToGrid w:val="0"/>
        <w:spacing w:line="400" w:lineRule="exact"/>
        <w:ind w:firstLine="630" w:firstLineChars="3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全额付款：</w:t>
      </w:r>
      <w:r>
        <w:rPr>
          <w:rFonts w:hint="eastAsia" w:ascii="仿宋" w:hAnsi="仿宋" w:eastAsia="仿宋" w:cs="仿宋"/>
          <w:color w:val="auto"/>
          <w:szCs w:val="21"/>
          <w:highlight w:val="none"/>
          <w:u w:val="single"/>
        </w:rPr>
        <w:t>银行转账。设备完成安装调试后，经过采购人初步验收，成交供应商开具符合税法规定的全额增值税发票，达到付款条件起 30 日内，支付合同总金额的 95.00%。</w:t>
      </w:r>
    </w:p>
    <w:p w14:paraId="32D9E79B">
      <w:pPr>
        <w:adjustRightInd w:val="0"/>
        <w:snapToGrid w:val="0"/>
        <w:spacing w:line="400" w:lineRule="exact"/>
        <w:ind w:firstLine="630" w:firstLineChars="3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设备试运行1年无问题并经过采购人最终验收，达到付款条件起 30 日内，无息支付合同总金额的 5.00%。</w:t>
      </w:r>
    </w:p>
    <w:p w14:paraId="1B350B6F">
      <w:pPr>
        <w:snapToGrid w:val="0"/>
        <w:spacing w:line="400" w:lineRule="exact"/>
        <w:ind w:firstLine="630" w:firstLineChars="300"/>
        <w:rPr>
          <w:rFonts w:hint="eastAsia" w:ascii="仿宋" w:hAnsi="仿宋" w:eastAsia="仿宋" w:cs="仿宋"/>
          <w:color w:val="auto"/>
          <w:highlight w:val="none"/>
        </w:rPr>
      </w:pP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分期付款：</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，其中涉及预付款的：</w:t>
      </w:r>
      <w:r>
        <w:rPr>
          <w:rFonts w:hint="eastAsia" w:ascii="仿宋" w:hAnsi="仿宋" w:eastAsia="仿宋" w:cs="仿宋"/>
          <w:color w:val="auto"/>
          <w:szCs w:val="21"/>
          <w:highlight w:val="none"/>
          <w:u w:val="single"/>
        </w:rPr>
        <w:t xml:space="preserve">                           </w:t>
      </w:r>
    </w:p>
    <w:p w14:paraId="2DBE2D5A">
      <w:pPr>
        <w:adjustRightInd w:val="0"/>
        <w:snapToGrid w:val="0"/>
        <w:spacing w:line="400" w:lineRule="exact"/>
        <w:ind w:firstLine="630" w:firstLineChars="3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成本补偿：</w:t>
      </w:r>
      <w:r>
        <w:rPr>
          <w:rFonts w:hint="eastAsia" w:ascii="仿宋" w:hAnsi="仿宋" w:eastAsia="仿宋" w:cs="仿宋"/>
          <w:color w:val="auto"/>
          <w:szCs w:val="21"/>
          <w:highlight w:val="none"/>
          <w:u w:val="single"/>
        </w:rPr>
        <w:t xml:space="preserve">                                                                     </w:t>
      </w:r>
    </w:p>
    <w:p w14:paraId="0BF232C2">
      <w:pPr>
        <w:adjustRightInd w:val="0"/>
        <w:snapToGrid w:val="0"/>
        <w:spacing w:line="400" w:lineRule="exact"/>
        <w:ind w:firstLine="630"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绩效激励：</w:t>
      </w:r>
      <w:r>
        <w:rPr>
          <w:rFonts w:hint="eastAsia" w:ascii="仿宋" w:hAnsi="仿宋" w:eastAsia="仿宋" w:cs="仿宋"/>
          <w:color w:val="auto"/>
          <w:szCs w:val="21"/>
          <w:highlight w:val="none"/>
          <w:u w:val="single"/>
        </w:rPr>
        <w:t xml:space="preserve">                                                                     </w:t>
      </w:r>
    </w:p>
    <w:p w14:paraId="3E38E416">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rPr>
        <w:t>合同履行</w:t>
      </w:r>
    </w:p>
    <w:p w14:paraId="37DF255D">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（1）起始日期：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日，完成日期：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1AA41B65">
      <w:pPr>
        <w:adjustRightInd w:val="0"/>
        <w:snapToGrid w:val="0"/>
        <w:spacing w:line="40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（2）履约地点</w:t>
      </w:r>
      <w:r>
        <w:rPr>
          <w:rFonts w:hint="eastAsia" w:ascii="仿宋" w:hAnsi="仿宋" w:eastAsia="仿宋" w:cs="仿宋"/>
          <w:bCs/>
          <w:color w:val="auto"/>
          <w:szCs w:val="21"/>
          <w:highlight w:val="none"/>
        </w:rPr>
        <w:t>：</w:t>
      </w:r>
      <w:r>
        <w:rPr>
          <w:rFonts w:hint="eastAsia" w:ascii="仿宋" w:hAnsi="仿宋" w:eastAsia="仿宋" w:cs="仿宋"/>
          <w:color w:val="auto"/>
          <w:szCs w:val="21"/>
          <w:highlight w:val="none"/>
          <w:u w:val="single"/>
        </w:rPr>
        <w:t xml:space="preserve"> 西北妇女儿童医院                            </w:t>
      </w:r>
    </w:p>
    <w:p w14:paraId="4A1DD500">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（3）履约担保：</w:t>
      </w:r>
      <w:r>
        <w:rPr>
          <w:rFonts w:hint="eastAsia" w:ascii="仿宋" w:hAnsi="仿宋" w:eastAsia="仿宋" w:cs="仿宋"/>
          <w:color w:val="auto"/>
          <w:highlight w:val="none"/>
        </w:rPr>
        <w:t>是否收取履约保证金：</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09FB209A">
      <w:pPr>
        <w:pStyle w:val="11"/>
        <w:rPr>
          <w:rFonts w:hint="eastAsia" w:ascii="仿宋" w:hAnsi="仿宋" w:eastAsia="仿宋" w:cs="仿宋"/>
          <w:color w:val="auto"/>
          <w:sz w:val="21"/>
          <w:highlight w:val="none"/>
        </w:rPr>
      </w:pPr>
      <w:r>
        <w:rPr>
          <w:rFonts w:hint="eastAsia" w:ascii="仿宋" w:hAnsi="仿宋" w:eastAsia="仿宋" w:cs="仿宋"/>
          <w:bCs/>
          <w:color w:val="auto"/>
          <w:highlight w:val="none"/>
        </w:rPr>
        <w:t xml:space="preserve">  </w:t>
      </w:r>
      <w:r>
        <w:rPr>
          <w:rFonts w:hint="eastAsia" w:ascii="仿宋" w:hAnsi="仿宋" w:eastAsia="仿宋" w:cs="仿宋"/>
          <w:color w:val="auto"/>
          <w:sz w:val="21"/>
          <w:highlight w:val="none"/>
        </w:rPr>
        <w:t xml:space="preserve">  收取履约保证金形式：</w:t>
      </w:r>
      <w:r>
        <w:rPr>
          <w:rFonts w:hint="eastAsia" w:ascii="仿宋" w:hAnsi="仿宋" w:eastAsia="仿宋" w:cs="仿宋"/>
          <w:bCs/>
          <w:color w:val="auto"/>
          <w:highlight w:val="none"/>
          <w:u w:val="single"/>
        </w:rPr>
        <w:t>/</w:t>
      </w:r>
      <w:r>
        <w:rPr>
          <w:rFonts w:hint="eastAsia" w:ascii="仿宋" w:hAnsi="仿宋" w:eastAsia="仿宋" w:cs="仿宋"/>
          <w:bCs/>
          <w:color w:val="auto"/>
          <w:sz w:val="21"/>
          <w:highlight w:val="none"/>
          <w:u w:val="single"/>
        </w:rPr>
        <w:t xml:space="preserve">                          </w:t>
      </w:r>
    </w:p>
    <w:p w14:paraId="4A0D08E7">
      <w:pPr>
        <w:pStyle w:val="11"/>
        <w:ind w:firstLine="420"/>
        <w:rPr>
          <w:rFonts w:hint="eastAsia" w:ascii="仿宋" w:hAnsi="仿宋" w:eastAsia="仿宋" w:cs="仿宋"/>
          <w:color w:val="auto"/>
          <w:sz w:val="21"/>
          <w:highlight w:val="none"/>
        </w:rPr>
      </w:pPr>
      <w:r>
        <w:rPr>
          <w:rFonts w:hint="eastAsia" w:ascii="仿宋" w:hAnsi="仿宋" w:eastAsia="仿宋" w:cs="仿宋"/>
          <w:color w:val="auto"/>
          <w:sz w:val="21"/>
          <w:highlight w:val="none"/>
        </w:rPr>
        <w:t xml:space="preserve">    收取履约保证金金额：</w:t>
      </w:r>
      <w:r>
        <w:rPr>
          <w:rFonts w:hint="eastAsia" w:ascii="仿宋" w:hAnsi="仿宋" w:eastAsia="仿宋" w:cs="仿宋"/>
          <w:bCs/>
          <w:color w:val="auto"/>
          <w:highlight w:val="none"/>
          <w:u w:val="single"/>
        </w:rPr>
        <w:t>/</w:t>
      </w:r>
      <w:r>
        <w:rPr>
          <w:rFonts w:hint="eastAsia" w:ascii="仿宋" w:hAnsi="仿宋" w:eastAsia="仿宋" w:cs="仿宋"/>
          <w:bCs/>
          <w:color w:val="auto"/>
          <w:sz w:val="21"/>
          <w:highlight w:val="none"/>
          <w:u w:val="single"/>
        </w:rPr>
        <w:t xml:space="preserve">                           </w:t>
      </w:r>
    </w:p>
    <w:p w14:paraId="0C049562">
      <w:pPr>
        <w:snapToGrid w:val="0"/>
        <w:spacing w:line="400" w:lineRule="exact"/>
        <w:ind w:firstLine="420" w:firstLineChars="200"/>
        <w:rPr>
          <w:rFonts w:hint="eastAsia" w:ascii="仿宋" w:hAnsi="仿宋" w:eastAsia="仿宋" w:cs="仿宋"/>
          <w:color w:val="auto"/>
          <w:highlight w:val="none"/>
        </w:rPr>
      </w:pPr>
      <w:r>
        <w:rPr>
          <w:rFonts w:hint="eastAsia" w:ascii="仿宋" w:hAnsi="仿宋" w:eastAsia="仿宋" w:cs="仿宋"/>
          <w:bCs/>
          <w:color w:val="auto"/>
          <w:szCs w:val="21"/>
          <w:highlight w:val="none"/>
        </w:rPr>
        <w:t xml:space="preserve">    履约担保期限：</w:t>
      </w:r>
      <w:r>
        <w:rPr>
          <w:rFonts w:hint="eastAsia" w:ascii="仿宋" w:hAnsi="仿宋" w:eastAsia="仿宋" w:cs="仿宋"/>
          <w:bCs/>
          <w:color w:val="auto"/>
          <w:szCs w:val="21"/>
          <w:highlight w:val="none"/>
          <w:u w:val="single"/>
        </w:rPr>
        <w:t xml:space="preserve">/                                </w:t>
      </w:r>
    </w:p>
    <w:p w14:paraId="216D25F3">
      <w:pPr>
        <w:adjustRightInd w:val="0"/>
        <w:snapToGrid w:val="0"/>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（4）分期履行要求：</w:t>
      </w:r>
      <w:r>
        <w:rPr>
          <w:rFonts w:hint="eastAsia" w:ascii="仿宋" w:hAnsi="仿宋" w:eastAsia="仿宋" w:cs="仿宋"/>
          <w:bCs/>
          <w:color w:val="auto"/>
          <w:szCs w:val="21"/>
          <w:highlight w:val="none"/>
          <w:u w:val="single"/>
        </w:rPr>
        <w:t xml:space="preserve">/                                                   </w:t>
      </w:r>
    </w:p>
    <w:p w14:paraId="17FCD62E">
      <w:pPr>
        <w:adjustRightInd w:val="0"/>
        <w:snapToGrid w:val="0"/>
        <w:spacing w:line="40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bCs/>
          <w:color w:val="auto"/>
          <w:szCs w:val="21"/>
          <w:highlight w:val="none"/>
        </w:rPr>
        <w:t>（5）风险处置措施和替代方案：</w:t>
      </w:r>
      <w:r>
        <w:rPr>
          <w:rFonts w:hint="eastAsia" w:ascii="仿宋" w:hAnsi="仿宋" w:eastAsia="仿宋" w:cs="仿宋"/>
          <w:color w:val="auto"/>
          <w:szCs w:val="21"/>
          <w:highlight w:val="none"/>
          <w:u w:val="single"/>
        </w:rPr>
        <w:t xml:space="preserve">/                                                       </w:t>
      </w:r>
    </w:p>
    <w:p w14:paraId="6058D0E3">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合同验收</w:t>
      </w:r>
    </w:p>
    <w:p w14:paraId="0957043C">
      <w:pPr>
        <w:numPr>
          <w:ilvl w:val="0"/>
          <w:numId w:val="3"/>
        </w:numPr>
        <w:adjustRightInd w:val="0"/>
        <w:snapToGrid w:val="0"/>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验收组织方式：</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 xml:space="preserve">自行组织 </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委托第三方组织</w:t>
      </w:r>
    </w:p>
    <w:p w14:paraId="2F805D5B">
      <w:pPr>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验收主体：</w:t>
      </w:r>
      <w:r>
        <w:rPr>
          <w:rFonts w:hint="eastAsia" w:ascii="仿宋" w:hAnsi="仿宋" w:eastAsia="仿宋" w:cs="仿宋"/>
          <w:bCs/>
          <w:color w:val="auto"/>
          <w:szCs w:val="21"/>
          <w:highlight w:val="none"/>
          <w:u w:val="single"/>
        </w:rPr>
        <w:t xml:space="preserve"> 西北妇女儿童医院                 </w:t>
      </w:r>
    </w:p>
    <w:p w14:paraId="56B8B1FC">
      <w:pPr>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是否邀请本项目的其他供应商参加验收：</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19CCDDD7">
      <w:pPr>
        <w:adjustRightInd w:val="0"/>
        <w:snapToGrid w:val="0"/>
        <w:spacing w:line="400" w:lineRule="exact"/>
        <w:ind w:firstLine="84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是否邀请专家参加验收：</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1C2B5E54">
      <w:pPr>
        <w:adjustRightInd w:val="0"/>
        <w:snapToGrid w:val="0"/>
        <w:spacing w:line="400" w:lineRule="exact"/>
        <w:ind w:firstLine="84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是否邀请服务对象参加验收：</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否</w:t>
      </w:r>
    </w:p>
    <w:p w14:paraId="1AAF25BB">
      <w:pPr>
        <w:adjustRightInd w:val="0"/>
        <w:snapToGrid w:val="0"/>
        <w:spacing w:line="400" w:lineRule="exact"/>
        <w:ind w:firstLine="84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是否邀请第三方检测机构参加验收：</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7550F00F">
      <w:pPr>
        <w:adjustRightInd w:val="0"/>
        <w:snapToGrid w:val="0"/>
        <w:spacing w:line="400" w:lineRule="exact"/>
        <w:ind w:firstLine="84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是否进行抽查检测：</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是，抽查比例：</w:t>
      </w:r>
      <w:r>
        <w:rPr>
          <w:rFonts w:hint="eastAsia" w:ascii="仿宋" w:hAnsi="仿宋" w:eastAsia="仿宋" w:cs="仿宋"/>
          <w:bCs/>
          <w:color w:val="auto"/>
          <w:szCs w:val="21"/>
          <w:highlight w:val="none"/>
          <w:u w:val="single"/>
        </w:rPr>
        <w:t xml:space="preserve">        </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51C330D0">
      <w:pPr>
        <w:adjustRightInd w:val="0"/>
        <w:snapToGrid w:val="0"/>
        <w:spacing w:line="400" w:lineRule="exact"/>
        <w:ind w:firstLine="840" w:firstLineChars="4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是否存在破坏性检测：</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是</w:t>
      </w:r>
    </w:p>
    <w:p w14:paraId="12303BC4">
      <w:pPr>
        <w:adjustRightInd w:val="0"/>
        <w:snapToGrid w:val="0"/>
        <w:spacing w:line="400" w:lineRule="exact"/>
        <w:ind w:firstLine="84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3B352A04">
      <w:pPr>
        <w:adjustRightInd w:val="0"/>
        <w:snapToGrid w:val="0"/>
        <w:spacing w:line="400" w:lineRule="exact"/>
        <w:ind w:firstLine="840" w:firstLineChars="4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验收组织的其他事项：</w:t>
      </w:r>
      <w:r>
        <w:rPr>
          <w:rFonts w:hint="eastAsia" w:ascii="仿宋" w:hAnsi="仿宋" w:eastAsia="仿宋" w:cs="仿宋"/>
          <w:bCs/>
          <w:color w:val="auto"/>
          <w:szCs w:val="21"/>
          <w:highlight w:val="none"/>
          <w:u w:val="single"/>
        </w:rPr>
        <w:t xml:space="preserve">/           </w:t>
      </w:r>
    </w:p>
    <w:p w14:paraId="59BB8A7F">
      <w:pPr>
        <w:adjustRightInd w:val="0"/>
        <w:snapToGrid w:val="0"/>
        <w:spacing w:line="40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（2）履约验收时间：</w:t>
      </w:r>
      <w:r>
        <w:rPr>
          <w:rFonts w:hint="eastAsia" w:ascii="仿宋" w:hAnsi="仿宋" w:eastAsia="仿宋" w:cs="仿宋"/>
          <w:bCs/>
          <w:color w:val="auto"/>
          <w:szCs w:val="21"/>
          <w:highlight w:val="none"/>
          <w:u w:val="single"/>
        </w:rPr>
        <w:t xml:space="preserve">供应商提出验收申请之日起30日内组织验收 </w:t>
      </w:r>
    </w:p>
    <w:p w14:paraId="4962CA81">
      <w:pPr>
        <w:adjustRightInd w:val="0"/>
        <w:snapToGrid w:val="0"/>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（3）履约验收方式：</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一次性验收</w:t>
      </w:r>
    </w:p>
    <w:p w14:paraId="77C26E16">
      <w:pPr>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分期/分项验收：</w:t>
      </w:r>
      <w:r>
        <w:rPr>
          <w:rFonts w:hint="eastAsia" w:ascii="仿宋" w:hAnsi="仿宋" w:eastAsia="仿宋" w:cs="仿宋"/>
          <w:bCs/>
          <w:color w:val="auto"/>
          <w:szCs w:val="21"/>
          <w:highlight w:val="none"/>
          <w:u w:val="single"/>
        </w:rPr>
        <w:t xml:space="preserve">                           </w:t>
      </w:r>
    </w:p>
    <w:p w14:paraId="6EB43D6E">
      <w:pPr>
        <w:numPr>
          <w:ilvl w:val="0"/>
          <w:numId w:val="4"/>
        </w:numPr>
        <w:adjustRightInd w:val="0"/>
        <w:snapToGrid w:val="0"/>
        <w:spacing w:line="40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履约验收程序：</w:t>
      </w:r>
      <w:r>
        <w:rPr>
          <w:rFonts w:hint="eastAsia" w:ascii="仿宋" w:hAnsi="仿宋" w:eastAsia="仿宋" w:cs="仿宋"/>
          <w:bCs/>
          <w:color w:val="auto"/>
          <w:szCs w:val="21"/>
          <w:highlight w:val="none"/>
          <w:u w:val="single"/>
        </w:rPr>
        <w:t>乙方完成合同及招标文件规定的全部内容，并经甲方确认项目开发满足甲方需要，由乙方提出验收申请，甲方组织相关人员（必要时组成院外专家组）进行项目验收，出具验收报告。</w:t>
      </w:r>
    </w:p>
    <w:p w14:paraId="6657CE2A">
      <w:pPr>
        <w:numPr>
          <w:ilvl w:val="0"/>
          <w:numId w:val="4"/>
        </w:numPr>
        <w:adjustRightInd w:val="0"/>
        <w:snapToGrid w:val="0"/>
        <w:spacing w:line="40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履约验收的内容：</w:t>
      </w:r>
      <w:r>
        <w:rPr>
          <w:rFonts w:hint="eastAsia" w:ascii="仿宋" w:hAnsi="仿宋" w:eastAsia="仿宋" w:cs="仿宋"/>
          <w:bCs/>
          <w:color w:val="auto"/>
          <w:szCs w:val="21"/>
          <w:highlight w:val="none"/>
          <w:u w:val="single"/>
        </w:rPr>
        <w:t>（1）符合采购人与中标供应商签订的经济合同（2）符合招标文件的技术要求、商务要求（3）符合产品原样本技术数据（4）符合国家有关技术规范和标准。所有安装、验收的手续及费用由供应商自行办理和承担，采购人提供相关辅助。。</w:t>
      </w:r>
    </w:p>
    <w:p w14:paraId="1DB5A650">
      <w:pPr>
        <w:adjustRightInd w:val="0"/>
        <w:snapToGrid w:val="0"/>
        <w:spacing w:line="40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（6）履约验收标准：</w:t>
      </w:r>
      <w:r>
        <w:rPr>
          <w:rFonts w:hint="eastAsia" w:ascii="仿宋" w:hAnsi="仿宋" w:eastAsia="仿宋" w:cs="仿宋"/>
          <w:bCs/>
          <w:color w:val="auto"/>
          <w:szCs w:val="21"/>
          <w:highlight w:val="none"/>
          <w:u w:val="single"/>
        </w:rPr>
        <w:t>符合国家有关安全技术标准。</w:t>
      </w:r>
    </w:p>
    <w:p w14:paraId="2A8C9DD4">
      <w:pPr>
        <w:pStyle w:val="11"/>
        <w:ind w:firstLine="420"/>
        <w:rPr>
          <w:rFonts w:hint="eastAsia" w:ascii="仿宋" w:hAnsi="仿宋" w:eastAsia="仿宋" w:cs="仿宋"/>
          <w:color w:val="auto"/>
          <w:sz w:val="21"/>
          <w:highlight w:val="none"/>
        </w:rPr>
      </w:pPr>
      <w:r>
        <w:rPr>
          <w:rFonts w:hint="eastAsia" w:ascii="仿宋" w:hAnsi="仿宋" w:eastAsia="仿宋" w:cs="仿宋"/>
          <w:bCs/>
          <w:color w:val="auto"/>
          <w:sz w:val="21"/>
          <w:highlight w:val="none"/>
        </w:rPr>
        <w:t>（7）是否以采购活动中供应商提供的样品作为参考：</w:t>
      </w:r>
      <w:r>
        <w:rPr>
          <w:rFonts w:hint="eastAsia" w:ascii="仿宋" w:hAnsi="仿宋" w:eastAsia="仿宋" w:cs="仿宋"/>
          <w:color w:val="auto"/>
          <w:sz w:val="21"/>
          <w:highlight w:val="none"/>
        </w:rPr>
        <w:sym w:font="Wingdings" w:char="00A8"/>
      </w:r>
      <w:r>
        <w:rPr>
          <w:rFonts w:hint="eastAsia" w:ascii="仿宋" w:hAnsi="仿宋" w:eastAsia="仿宋" w:cs="仿宋"/>
          <w:bCs/>
          <w:color w:val="auto"/>
          <w:sz w:val="21"/>
          <w:highlight w:val="none"/>
        </w:rPr>
        <w:t xml:space="preserve">是  </w:t>
      </w:r>
      <w:r>
        <w:rPr>
          <w:rFonts w:hint="eastAsia" w:ascii="仿宋" w:hAnsi="仿宋" w:eastAsia="仿宋" w:cs="仿宋"/>
          <w:color w:val="auto"/>
          <w:sz w:val="21"/>
          <w:highlight w:val="none"/>
        </w:rPr>
        <w:sym w:font="Wingdings" w:char="00FE"/>
      </w:r>
      <w:r>
        <w:rPr>
          <w:rFonts w:hint="eastAsia" w:ascii="仿宋" w:hAnsi="仿宋" w:eastAsia="仿宋" w:cs="仿宋"/>
          <w:bCs/>
          <w:color w:val="auto"/>
          <w:sz w:val="21"/>
          <w:highlight w:val="none"/>
        </w:rPr>
        <w:t>否</w:t>
      </w:r>
    </w:p>
    <w:p w14:paraId="02149FC8">
      <w:pPr>
        <w:adjustRightInd w:val="0"/>
        <w:snapToGrid w:val="0"/>
        <w:spacing w:line="40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（8）履约验收其他事项：</w:t>
      </w:r>
      <w:r>
        <w:rPr>
          <w:rFonts w:hint="eastAsia" w:ascii="仿宋" w:hAnsi="仿宋" w:eastAsia="仿宋" w:cs="仿宋"/>
          <w:bCs/>
          <w:color w:val="auto"/>
          <w:szCs w:val="21"/>
          <w:highlight w:val="none"/>
          <w:u w:val="single"/>
        </w:rPr>
        <w:t xml:space="preserve">/          </w:t>
      </w:r>
    </w:p>
    <w:p w14:paraId="38956DD6">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组成合同的文件</w:t>
      </w:r>
    </w:p>
    <w:p w14:paraId="1974C776">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本协议书与下列文件一起构成合同文件，如下述文件之间有任何抵触、矛盾或歧义，应按以下顺序解释：</w:t>
      </w:r>
    </w:p>
    <w:p w14:paraId="5FA15346">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（1）政府采购合同协议书及其变更、补充协议</w:t>
      </w:r>
    </w:p>
    <w:p w14:paraId="48F86242">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（2）政府采购合同专用条款</w:t>
      </w:r>
    </w:p>
    <w:p w14:paraId="34BD3C60">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（3）政府采购合同通用条款</w:t>
      </w:r>
    </w:p>
    <w:p w14:paraId="76CFA7EF">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（4）中标（成交）通知书</w:t>
      </w:r>
    </w:p>
    <w:p w14:paraId="14466713">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（5）投标（响应）文件</w:t>
      </w:r>
    </w:p>
    <w:p w14:paraId="57712996">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（6）采购文件</w:t>
      </w:r>
    </w:p>
    <w:p w14:paraId="4DB05238">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（7）有关技术文件，图纸</w:t>
      </w:r>
    </w:p>
    <w:p w14:paraId="33FBADCC">
      <w:pPr>
        <w:pStyle w:val="11"/>
        <w:ind w:firstLine="420"/>
        <w:rPr>
          <w:rFonts w:hint="eastAsia" w:ascii="仿宋" w:hAnsi="仿宋" w:eastAsia="仿宋" w:cs="仿宋"/>
          <w:color w:val="auto"/>
          <w:kern w:val="2"/>
          <w:sz w:val="21"/>
          <w:highlight w:val="none"/>
        </w:rPr>
      </w:pPr>
      <w:r>
        <w:rPr>
          <w:rFonts w:hint="eastAsia" w:ascii="仿宋" w:hAnsi="仿宋" w:eastAsia="仿宋" w:cs="仿宋"/>
          <w:color w:val="auto"/>
          <w:sz w:val="21"/>
          <w:highlight w:val="none"/>
        </w:rPr>
        <w:t>（8）</w:t>
      </w:r>
      <w:r>
        <w:rPr>
          <w:rFonts w:hint="eastAsia" w:ascii="仿宋" w:hAnsi="仿宋" w:eastAsia="仿宋" w:cs="仿宋"/>
          <w:color w:val="auto"/>
          <w:kern w:val="2"/>
          <w:sz w:val="21"/>
          <w:highlight w:val="none"/>
        </w:rPr>
        <w:t>国家法律、行政法规和规章制度规定或合同约定的作为合同组成部分的其他文件</w:t>
      </w:r>
    </w:p>
    <w:p w14:paraId="3A28EE1F">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合同生效</w:t>
      </w:r>
    </w:p>
    <w:p w14:paraId="063D0658">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本合同自</w:t>
      </w:r>
      <w:r>
        <w:rPr>
          <w:rFonts w:hint="eastAsia" w:ascii="仿宋" w:hAnsi="仿宋" w:eastAsia="仿宋" w:cs="仿宋"/>
          <w:color w:val="auto"/>
          <w:szCs w:val="21"/>
          <w:highlight w:val="none"/>
          <w:u w:val="single"/>
          <w:lang w:val="en-US" w:eastAsia="zh-CN"/>
        </w:rPr>
        <w:t>甲乙双方代表人签字并加盖公章之日起</w:t>
      </w:r>
      <w:r>
        <w:rPr>
          <w:rFonts w:hint="eastAsia" w:ascii="仿宋" w:hAnsi="仿宋" w:eastAsia="仿宋" w:cs="仿宋"/>
          <w:color w:val="auto"/>
          <w:szCs w:val="21"/>
          <w:highlight w:val="none"/>
        </w:rPr>
        <w:t>生效。</w:t>
      </w:r>
    </w:p>
    <w:p w14:paraId="749E6ABE">
      <w:pPr>
        <w:numPr>
          <w:ilvl w:val="0"/>
          <w:numId w:val="1"/>
        </w:numPr>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合同份数</w:t>
      </w:r>
    </w:p>
    <w:p w14:paraId="3A0DFCE6">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本合同一式</w:t>
      </w:r>
      <w:r>
        <w:rPr>
          <w:rFonts w:hint="eastAsia" w:ascii="仿宋" w:hAnsi="仿宋" w:eastAsia="仿宋" w:cs="仿宋"/>
          <w:color w:val="auto"/>
          <w:szCs w:val="21"/>
          <w:highlight w:val="none"/>
          <w:u w:val="single"/>
        </w:rPr>
        <w:t>肆</w:t>
      </w:r>
      <w:r>
        <w:rPr>
          <w:rFonts w:hint="eastAsia" w:ascii="仿宋" w:hAnsi="仿宋" w:eastAsia="仿宋" w:cs="仿宋"/>
          <w:color w:val="auto"/>
          <w:szCs w:val="21"/>
          <w:highlight w:val="none"/>
        </w:rPr>
        <w:t>份，甲方执</w:t>
      </w:r>
      <w:r>
        <w:rPr>
          <w:rFonts w:hint="eastAsia" w:ascii="仿宋" w:hAnsi="仿宋" w:eastAsia="仿宋" w:cs="仿宋"/>
          <w:color w:val="auto"/>
          <w:szCs w:val="21"/>
          <w:highlight w:val="none"/>
          <w:u w:val="single"/>
        </w:rPr>
        <w:t>叁</w:t>
      </w:r>
      <w:r>
        <w:rPr>
          <w:rFonts w:hint="eastAsia" w:ascii="仿宋" w:hAnsi="仿宋" w:eastAsia="仿宋" w:cs="仿宋"/>
          <w:color w:val="auto"/>
          <w:szCs w:val="21"/>
          <w:highlight w:val="none"/>
        </w:rPr>
        <w:t>份，乙方执</w:t>
      </w:r>
      <w:r>
        <w:rPr>
          <w:rFonts w:hint="eastAsia" w:ascii="仿宋" w:hAnsi="仿宋" w:eastAsia="仿宋" w:cs="仿宋"/>
          <w:color w:val="auto"/>
          <w:szCs w:val="21"/>
          <w:highlight w:val="none"/>
          <w:u w:val="single"/>
        </w:rPr>
        <w:t xml:space="preserve"> 壹 </w:t>
      </w:r>
      <w:r>
        <w:rPr>
          <w:rFonts w:hint="eastAsia" w:ascii="仿宋" w:hAnsi="仿宋" w:eastAsia="仿宋" w:cs="仿宋"/>
          <w:color w:val="auto"/>
          <w:szCs w:val="21"/>
          <w:highlight w:val="none"/>
        </w:rPr>
        <w:t>份，均具有同等法律效力，经甲乙双方法定代表人签字或盖章，并加盖公章后生效。</w:t>
      </w:r>
    </w:p>
    <w:p w14:paraId="7A602438">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合同订立时间：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1E319D0F">
      <w:pPr>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合同订立地点：</w:t>
      </w:r>
      <w:r>
        <w:rPr>
          <w:rFonts w:hint="eastAsia" w:ascii="仿宋" w:hAnsi="仿宋" w:eastAsia="仿宋" w:cs="仿宋"/>
          <w:color w:val="auto"/>
          <w:szCs w:val="21"/>
          <w:highlight w:val="none"/>
          <w:u w:val="single"/>
        </w:rPr>
        <w:t xml:space="preserve"> 西安市  </w:t>
      </w:r>
    </w:p>
    <w:p w14:paraId="0E9D30CD">
      <w:pPr>
        <w:pStyle w:val="12"/>
        <w:spacing w:line="400" w:lineRule="exact"/>
        <w:rPr>
          <w:rFonts w:hint="eastAsia" w:ascii="仿宋" w:hAnsi="仿宋" w:eastAsia="仿宋" w:cs="仿宋"/>
          <w:color w:val="auto"/>
          <w:highlight w:val="none"/>
        </w:rPr>
      </w:pPr>
    </w:p>
    <w:p w14:paraId="4A14A068">
      <w:pPr>
        <w:rPr>
          <w:rFonts w:hint="eastAsia" w:ascii="仿宋" w:hAnsi="仿宋" w:eastAsia="仿宋" w:cs="仿宋"/>
          <w:color w:val="auto"/>
          <w:highlight w:val="none"/>
        </w:rPr>
      </w:pPr>
      <w:r>
        <w:rPr>
          <w:rFonts w:hint="eastAsia" w:ascii="仿宋" w:hAnsi="仿宋" w:eastAsia="仿宋" w:cs="仿宋"/>
          <w:color w:val="auto"/>
          <w:highlight w:val="none"/>
          <w:lang w:val="en"/>
        </w:rPr>
        <w:t xml:space="preserve">   </w:t>
      </w:r>
    </w:p>
    <w:p w14:paraId="7C71F377">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E01072C">
      <w:pPr>
        <w:pStyle w:val="12"/>
        <w:rPr>
          <w:rFonts w:hint="eastAsia" w:ascii="仿宋" w:hAnsi="仿宋" w:eastAsia="仿宋" w:cs="仿宋"/>
          <w:color w:val="auto"/>
          <w:highlight w:val="none"/>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95"/>
        <w:gridCol w:w="2328"/>
        <w:gridCol w:w="1887"/>
        <w:gridCol w:w="2512"/>
      </w:tblGrid>
      <w:tr w14:paraId="4B0531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87" w:hRule="atLeast"/>
        </w:trPr>
        <w:tc>
          <w:tcPr>
            <w:tcW w:w="2419" w:type="pct"/>
            <w:gridSpan w:val="2"/>
            <w:tcBorders>
              <w:bottom w:val="single" w:color="auto" w:sz="2" w:space="0"/>
              <w:right w:val="single" w:color="auto" w:sz="2" w:space="0"/>
            </w:tcBorders>
            <w:vAlign w:val="center"/>
          </w:tcPr>
          <w:p w14:paraId="5F721F69">
            <w:pPr>
              <w:adjustRightInd w:val="0"/>
              <w:snapToGrid w:val="0"/>
              <w:spacing w:line="300" w:lineRule="exact"/>
              <w:jc w:val="center"/>
              <w:rPr>
                <w:rFonts w:hint="eastAsia" w:ascii="仿宋" w:hAnsi="仿宋" w:eastAsia="仿宋" w:cs="仿宋"/>
                <w:color w:val="auto"/>
                <w:highlight w:val="none"/>
              </w:rPr>
            </w:pPr>
            <w:r>
              <w:rPr>
                <w:rFonts w:hint="eastAsia" w:ascii="仿宋" w:hAnsi="仿宋" w:eastAsia="仿宋" w:cs="仿宋"/>
                <w:color w:val="auto"/>
                <w:szCs w:val="21"/>
                <w:highlight w:val="none"/>
              </w:rPr>
              <w:t>甲方</w:t>
            </w:r>
          </w:p>
        </w:tc>
        <w:tc>
          <w:tcPr>
            <w:tcW w:w="2581" w:type="pct"/>
            <w:gridSpan w:val="2"/>
            <w:tcBorders>
              <w:left w:val="single" w:color="auto" w:sz="2" w:space="0"/>
              <w:bottom w:val="single" w:color="auto" w:sz="2" w:space="0"/>
            </w:tcBorders>
            <w:vAlign w:val="center"/>
          </w:tcPr>
          <w:p w14:paraId="23ADFFB6">
            <w:pPr>
              <w:adjustRightInd w:val="0"/>
              <w:snapToGrid w:val="0"/>
              <w:spacing w:line="300" w:lineRule="exact"/>
              <w:jc w:val="center"/>
              <w:rPr>
                <w:rFonts w:hint="eastAsia" w:ascii="仿宋" w:hAnsi="仿宋" w:eastAsia="仿宋" w:cs="仿宋"/>
                <w:color w:val="auto"/>
                <w:highlight w:val="none"/>
              </w:rPr>
            </w:pPr>
            <w:r>
              <w:rPr>
                <w:rFonts w:hint="eastAsia" w:ascii="仿宋" w:hAnsi="仿宋" w:eastAsia="仿宋" w:cs="仿宋"/>
                <w:color w:val="auto"/>
                <w:szCs w:val="21"/>
                <w:highlight w:val="none"/>
              </w:rPr>
              <w:t>乙方</w:t>
            </w:r>
          </w:p>
        </w:tc>
      </w:tr>
      <w:tr w14:paraId="233C7C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82" w:hRule="atLeast"/>
        </w:trPr>
        <w:tc>
          <w:tcPr>
            <w:tcW w:w="1053" w:type="pct"/>
            <w:tcBorders>
              <w:top w:val="single" w:color="auto" w:sz="2" w:space="0"/>
              <w:bottom w:val="single" w:color="auto" w:sz="2" w:space="0"/>
              <w:right w:val="single" w:color="auto" w:sz="2" w:space="0"/>
            </w:tcBorders>
            <w:vAlign w:val="center"/>
          </w:tcPr>
          <w:p w14:paraId="296312A8">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单位名称（公章或合同章）</w:t>
            </w:r>
          </w:p>
        </w:tc>
        <w:tc>
          <w:tcPr>
            <w:tcW w:w="1366" w:type="pct"/>
            <w:tcBorders>
              <w:top w:val="single" w:color="auto" w:sz="2" w:space="0"/>
              <w:left w:val="single" w:color="auto" w:sz="2" w:space="0"/>
              <w:bottom w:val="single" w:color="auto" w:sz="2" w:space="0"/>
              <w:right w:val="single" w:color="auto" w:sz="2" w:space="0"/>
            </w:tcBorders>
            <w:vAlign w:val="center"/>
          </w:tcPr>
          <w:p w14:paraId="66DD62E8">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西北妇女儿童医院</w:t>
            </w:r>
          </w:p>
        </w:tc>
        <w:tc>
          <w:tcPr>
            <w:tcW w:w="1107" w:type="pct"/>
            <w:tcBorders>
              <w:top w:val="single" w:color="auto" w:sz="2" w:space="0"/>
              <w:left w:val="single" w:color="auto" w:sz="2" w:space="0"/>
              <w:bottom w:val="single" w:color="auto" w:sz="2" w:space="0"/>
              <w:right w:val="single" w:color="auto" w:sz="2" w:space="0"/>
            </w:tcBorders>
            <w:vAlign w:val="center"/>
          </w:tcPr>
          <w:p w14:paraId="0B90D319">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单位名称（公章或合同章）</w:t>
            </w:r>
          </w:p>
        </w:tc>
        <w:tc>
          <w:tcPr>
            <w:tcW w:w="1474" w:type="pct"/>
            <w:tcBorders>
              <w:top w:val="single" w:color="auto" w:sz="2" w:space="0"/>
              <w:left w:val="single" w:color="auto" w:sz="2" w:space="0"/>
              <w:bottom w:val="single" w:color="auto" w:sz="2" w:space="0"/>
            </w:tcBorders>
            <w:vAlign w:val="center"/>
          </w:tcPr>
          <w:p w14:paraId="7601B5B4">
            <w:pPr>
              <w:adjustRightInd w:val="0"/>
              <w:snapToGrid w:val="0"/>
              <w:spacing w:line="300" w:lineRule="exact"/>
              <w:jc w:val="center"/>
              <w:rPr>
                <w:rFonts w:hint="eastAsia" w:ascii="仿宋" w:hAnsi="仿宋" w:eastAsia="仿宋" w:cs="仿宋"/>
                <w:color w:val="auto"/>
                <w:spacing w:val="20"/>
                <w:szCs w:val="21"/>
                <w:highlight w:val="none"/>
                <w:lang w:eastAsia="zh-CN"/>
              </w:rPr>
            </w:pPr>
          </w:p>
        </w:tc>
      </w:tr>
      <w:tr w14:paraId="78A39B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09" w:hRule="atLeast"/>
        </w:trPr>
        <w:tc>
          <w:tcPr>
            <w:tcW w:w="1053" w:type="pct"/>
            <w:vMerge w:val="restart"/>
            <w:tcBorders>
              <w:top w:val="single" w:color="auto" w:sz="2" w:space="0"/>
              <w:right w:val="single" w:color="auto" w:sz="2" w:space="0"/>
            </w:tcBorders>
            <w:vAlign w:val="center"/>
          </w:tcPr>
          <w:p w14:paraId="6F9FADA9">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w:t>
            </w:r>
          </w:p>
        </w:tc>
        <w:tc>
          <w:tcPr>
            <w:tcW w:w="1366" w:type="pct"/>
            <w:vMerge w:val="restart"/>
            <w:tcBorders>
              <w:top w:val="single" w:color="auto" w:sz="2" w:space="0"/>
              <w:left w:val="single" w:color="auto" w:sz="2" w:space="0"/>
              <w:right w:val="single" w:color="auto" w:sz="2" w:space="0"/>
            </w:tcBorders>
            <w:vAlign w:val="center"/>
          </w:tcPr>
          <w:p w14:paraId="1E8B1BD9">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right w:val="single" w:color="auto" w:sz="2" w:space="0"/>
            </w:tcBorders>
            <w:vAlign w:val="center"/>
          </w:tcPr>
          <w:p w14:paraId="57696641">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w:t>
            </w:r>
          </w:p>
        </w:tc>
        <w:tc>
          <w:tcPr>
            <w:tcW w:w="1474" w:type="pct"/>
            <w:tcBorders>
              <w:top w:val="single" w:color="auto" w:sz="2" w:space="0"/>
              <w:left w:val="single" w:color="auto" w:sz="2" w:space="0"/>
              <w:bottom w:val="single" w:color="auto" w:sz="2" w:space="0"/>
            </w:tcBorders>
            <w:vAlign w:val="center"/>
          </w:tcPr>
          <w:p w14:paraId="7F324EEF">
            <w:pPr>
              <w:adjustRightInd w:val="0"/>
              <w:snapToGrid w:val="0"/>
              <w:spacing w:line="300" w:lineRule="exact"/>
              <w:jc w:val="center"/>
              <w:rPr>
                <w:rFonts w:hint="eastAsia" w:ascii="仿宋" w:hAnsi="仿宋" w:eastAsia="仿宋" w:cs="仿宋"/>
                <w:color w:val="auto"/>
                <w:szCs w:val="21"/>
                <w:highlight w:val="none"/>
              </w:rPr>
            </w:pPr>
          </w:p>
        </w:tc>
      </w:tr>
      <w:tr w14:paraId="0DD768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22" w:hRule="atLeast"/>
        </w:trPr>
        <w:tc>
          <w:tcPr>
            <w:tcW w:w="1053" w:type="pct"/>
            <w:vMerge w:val="continue"/>
            <w:tcBorders>
              <w:bottom w:val="single" w:color="auto" w:sz="2" w:space="0"/>
              <w:right w:val="single" w:color="auto" w:sz="2" w:space="0"/>
            </w:tcBorders>
            <w:vAlign w:val="center"/>
          </w:tcPr>
          <w:p w14:paraId="1AB61D13">
            <w:pPr>
              <w:adjustRightInd w:val="0"/>
              <w:snapToGrid w:val="0"/>
              <w:spacing w:line="300" w:lineRule="exact"/>
              <w:jc w:val="center"/>
              <w:rPr>
                <w:rFonts w:hint="eastAsia" w:ascii="仿宋" w:hAnsi="仿宋" w:eastAsia="仿宋" w:cs="仿宋"/>
                <w:color w:val="auto"/>
                <w:szCs w:val="21"/>
                <w:highlight w:val="none"/>
              </w:rPr>
            </w:pPr>
          </w:p>
        </w:tc>
        <w:tc>
          <w:tcPr>
            <w:tcW w:w="1366" w:type="pct"/>
            <w:vMerge w:val="continue"/>
            <w:tcBorders>
              <w:left w:val="single" w:color="auto" w:sz="2" w:space="0"/>
              <w:bottom w:val="single" w:color="auto" w:sz="2" w:space="0"/>
              <w:right w:val="single" w:color="auto" w:sz="2" w:space="0"/>
            </w:tcBorders>
            <w:vAlign w:val="center"/>
          </w:tcPr>
          <w:p w14:paraId="376925B8">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595AA72A">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拥有者性别</w:t>
            </w:r>
          </w:p>
        </w:tc>
        <w:tc>
          <w:tcPr>
            <w:tcW w:w="1474" w:type="pct"/>
            <w:tcBorders>
              <w:top w:val="single" w:color="auto" w:sz="2" w:space="0"/>
              <w:left w:val="single" w:color="auto" w:sz="2" w:space="0"/>
              <w:bottom w:val="single" w:color="auto" w:sz="2" w:space="0"/>
            </w:tcBorders>
            <w:vAlign w:val="center"/>
          </w:tcPr>
          <w:p w14:paraId="0898F97D">
            <w:pPr>
              <w:adjustRightInd w:val="0"/>
              <w:snapToGrid w:val="0"/>
              <w:spacing w:line="300" w:lineRule="exact"/>
              <w:jc w:val="center"/>
              <w:rPr>
                <w:rFonts w:hint="eastAsia" w:ascii="仿宋" w:hAnsi="仿宋" w:eastAsia="仿宋" w:cs="仿宋"/>
                <w:color w:val="auto"/>
                <w:spacing w:val="20"/>
                <w:szCs w:val="21"/>
                <w:highlight w:val="none"/>
              </w:rPr>
            </w:pPr>
          </w:p>
        </w:tc>
      </w:tr>
      <w:tr w14:paraId="7A9D9E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299" w:hRule="atLeast"/>
        </w:trPr>
        <w:tc>
          <w:tcPr>
            <w:tcW w:w="1053" w:type="pct"/>
            <w:tcBorders>
              <w:top w:val="single" w:color="auto" w:sz="2" w:space="0"/>
              <w:bottom w:val="single" w:color="auto" w:sz="2" w:space="0"/>
              <w:right w:val="single" w:color="auto" w:sz="2" w:space="0"/>
            </w:tcBorders>
            <w:vAlign w:val="center"/>
          </w:tcPr>
          <w:p w14:paraId="0F57CCBD">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地  址</w:t>
            </w:r>
          </w:p>
        </w:tc>
        <w:tc>
          <w:tcPr>
            <w:tcW w:w="1366" w:type="pct"/>
            <w:tcBorders>
              <w:top w:val="single" w:color="auto" w:sz="2" w:space="0"/>
              <w:left w:val="single" w:color="auto" w:sz="2" w:space="0"/>
              <w:bottom w:val="single" w:color="auto" w:sz="2" w:space="0"/>
              <w:right w:val="single" w:color="auto" w:sz="2" w:space="0"/>
            </w:tcBorders>
            <w:vAlign w:val="center"/>
          </w:tcPr>
          <w:p w14:paraId="7567C9F2">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西安市雁翔路1616号</w:t>
            </w:r>
          </w:p>
        </w:tc>
        <w:tc>
          <w:tcPr>
            <w:tcW w:w="1107" w:type="pct"/>
            <w:tcBorders>
              <w:top w:val="single" w:color="auto" w:sz="2" w:space="0"/>
              <w:left w:val="single" w:color="auto" w:sz="2" w:space="0"/>
              <w:bottom w:val="single" w:color="auto" w:sz="2" w:space="0"/>
              <w:right w:val="single" w:color="auto" w:sz="2" w:space="0"/>
            </w:tcBorders>
            <w:vAlign w:val="center"/>
          </w:tcPr>
          <w:p w14:paraId="7067B2F7">
            <w:pPr>
              <w:adjustRightInd w:val="0"/>
              <w:snapToGrid w:val="0"/>
              <w:spacing w:line="300" w:lineRule="exact"/>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地  址</w:t>
            </w:r>
          </w:p>
        </w:tc>
        <w:tc>
          <w:tcPr>
            <w:tcW w:w="1474" w:type="pct"/>
            <w:tcBorders>
              <w:top w:val="single" w:color="auto" w:sz="2" w:space="0"/>
              <w:left w:val="single" w:color="auto" w:sz="2" w:space="0"/>
              <w:bottom w:val="single" w:color="auto" w:sz="2" w:space="0"/>
            </w:tcBorders>
            <w:vAlign w:val="center"/>
          </w:tcPr>
          <w:p w14:paraId="4E8A8311">
            <w:pPr>
              <w:adjustRightInd w:val="0"/>
              <w:snapToGrid w:val="0"/>
              <w:spacing w:line="300" w:lineRule="exact"/>
              <w:jc w:val="center"/>
              <w:rPr>
                <w:rFonts w:hint="eastAsia" w:ascii="仿宋" w:hAnsi="仿宋" w:eastAsia="仿宋" w:cs="仿宋"/>
                <w:color w:val="auto"/>
                <w:spacing w:val="20"/>
                <w:szCs w:val="21"/>
                <w:highlight w:val="none"/>
              </w:rPr>
            </w:pPr>
          </w:p>
        </w:tc>
      </w:tr>
      <w:tr w14:paraId="71599F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73" w:hRule="atLeast"/>
        </w:trPr>
        <w:tc>
          <w:tcPr>
            <w:tcW w:w="1053" w:type="pct"/>
            <w:tcBorders>
              <w:top w:val="single" w:color="auto" w:sz="2" w:space="0"/>
              <w:bottom w:val="single" w:color="auto" w:sz="2" w:space="0"/>
              <w:right w:val="single" w:color="auto" w:sz="2" w:space="0"/>
            </w:tcBorders>
            <w:vAlign w:val="center"/>
          </w:tcPr>
          <w:p w14:paraId="0D36410C">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 系 人</w:t>
            </w:r>
          </w:p>
        </w:tc>
        <w:tc>
          <w:tcPr>
            <w:tcW w:w="1366" w:type="pct"/>
            <w:tcBorders>
              <w:top w:val="single" w:color="auto" w:sz="2" w:space="0"/>
              <w:left w:val="single" w:color="auto" w:sz="2" w:space="0"/>
              <w:bottom w:val="single" w:color="auto" w:sz="2" w:space="0"/>
              <w:right w:val="single" w:color="auto" w:sz="2" w:space="0"/>
            </w:tcBorders>
            <w:vAlign w:val="center"/>
          </w:tcPr>
          <w:p w14:paraId="6133143F">
            <w:pPr>
              <w:adjustRightInd w:val="0"/>
              <w:snapToGrid w:val="0"/>
              <w:spacing w:line="300" w:lineRule="exact"/>
              <w:jc w:val="center"/>
              <w:rPr>
                <w:rFonts w:hint="eastAsia" w:ascii="仿宋" w:hAnsi="仿宋" w:eastAsia="仿宋" w:cs="仿宋"/>
                <w:color w:val="auto"/>
                <w:szCs w:val="21"/>
                <w:highlight w:val="none"/>
                <w:lang w:eastAsia="zh-CN"/>
              </w:rPr>
            </w:pPr>
          </w:p>
        </w:tc>
        <w:tc>
          <w:tcPr>
            <w:tcW w:w="1107" w:type="pct"/>
            <w:tcBorders>
              <w:top w:val="single" w:color="auto" w:sz="2" w:space="0"/>
              <w:left w:val="single" w:color="auto" w:sz="2" w:space="0"/>
              <w:bottom w:val="single" w:color="auto" w:sz="2" w:space="0"/>
              <w:right w:val="single" w:color="auto" w:sz="2" w:space="0"/>
            </w:tcBorders>
            <w:vAlign w:val="center"/>
          </w:tcPr>
          <w:p w14:paraId="3B2F110F">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 系 人</w:t>
            </w:r>
          </w:p>
        </w:tc>
        <w:tc>
          <w:tcPr>
            <w:tcW w:w="1474" w:type="pct"/>
            <w:tcBorders>
              <w:top w:val="single" w:color="auto" w:sz="2" w:space="0"/>
              <w:left w:val="single" w:color="auto" w:sz="2" w:space="0"/>
              <w:bottom w:val="single" w:color="auto" w:sz="2" w:space="0"/>
            </w:tcBorders>
            <w:vAlign w:val="center"/>
          </w:tcPr>
          <w:p w14:paraId="1C10BBD3">
            <w:pPr>
              <w:adjustRightInd w:val="0"/>
              <w:snapToGrid w:val="0"/>
              <w:spacing w:line="300" w:lineRule="exact"/>
              <w:jc w:val="center"/>
              <w:rPr>
                <w:rFonts w:hint="eastAsia" w:ascii="仿宋" w:hAnsi="仿宋" w:eastAsia="仿宋" w:cs="仿宋"/>
                <w:color w:val="auto"/>
                <w:spacing w:val="20"/>
                <w:szCs w:val="21"/>
                <w:highlight w:val="none"/>
              </w:rPr>
            </w:pPr>
          </w:p>
        </w:tc>
      </w:tr>
      <w:tr w14:paraId="631C93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47" w:hRule="atLeast"/>
        </w:trPr>
        <w:tc>
          <w:tcPr>
            <w:tcW w:w="1053" w:type="pct"/>
            <w:tcBorders>
              <w:top w:val="single" w:color="auto" w:sz="2" w:space="0"/>
              <w:bottom w:val="single" w:color="auto" w:sz="2" w:space="0"/>
              <w:right w:val="single" w:color="auto" w:sz="2" w:space="0"/>
            </w:tcBorders>
            <w:vAlign w:val="center"/>
          </w:tcPr>
          <w:p w14:paraId="346D8907">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p>
        </w:tc>
        <w:tc>
          <w:tcPr>
            <w:tcW w:w="1366" w:type="pct"/>
            <w:tcBorders>
              <w:top w:val="single" w:color="auto" w:sz="2" w:space="0"/>
              <w:left w:val="single" w:color="auto" w:sz="2" w:space="0"/>
              <w:bottom w:val="single" w:color="auto" w:sz="2" w:space="0"/>
              <w:right w:val="single" w:color="auto" w:sz="2" w:space="0"/>
            </w:tcBorders>
            <w:vAlign w:val="center"/>
          </w:tcPr>
          <w:p w14:paraId="5EF94240">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398C1D6A">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p>
        </w:tc>
        <w:tc>
          <w:tcPr>
            <w:tcW w:w="1474" w:type="pct"/>
            <w:tcBorders>
              <w:top w:val="single" w:color="auto" w:sz="2" w:space="0"/>
              <w:left w:val="single" w:color="auto" w:sz="2" w:space="0"/>
              <w:bottom w:val="single" w:color="auto" w:sz="2" w:space="0"/>
            </w:tcBorders>
            <w:vAlign w:val="center"/>
          </w:tcPr>
          <w:p w14:paraId="1127E721">
            <w:pPr>
              <w:adjustRightInd w:val="0"/>
              <w:snapToGrid w:val="0"/>
              <w:spacing w:line="300" w:lineRule="exact"/>
              <w:jc w:val="center"/>
              <w:rPr>
                <w:rFonts w:hint="eastAsia" w:ascii="仿宋" w:hAnsi="仿宋" w:eastAsia="仿宋" w:cs="仿宋"/>
                <w:color w:val="auto"/>
                <w:spacing w:val="20"/>
                <w:szCs w:val="21"/>
                <w:highlight w:val="none"/>
              </w:rPr>
            </w:pPr>
          </w:p>
        </w:tc>
      </w:tr>
      <w:tr w14:paraId="41B404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47" w:hRule="atLeast"/>
        </w:trPr>
        <w:tc>
          <w:tcPr>
            <w:tcW w:w="1053" w:type="pct"/>
            <w:tcBorders>
              <w:top w:val="single" w:color="auto" w:sz="2" w:space="0"/>
              <w:bottom w:val="single" w:color="auto" w:sz="2" w:space="0"/>
              <w:right w:val="single" w:color="auto" w:sz="2" w:space="0"/>
            </w:tcBorders>
            <w:vAlign w:val="center"/>
          </w:tcPr>
          <w:p w14:paraId="5D870FAE">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统一社会信用代码</w:t>
            </w:r>
          </w:p>
        </w:tc>
        <w:tc>
          <w:tcPr>
            <w:tcW w:w="1366" w:type="pct"/>
            <w:tcBorders>
              <w:top w:val="single" w:color="auto" w:sz="2" w:space="0"/>
              <w:left w:val="single" w:color="auto" w:sz="2" w:space="0"/>
              <w:bottom w:val="single" w:color="auto" w:sz="2" w:space="0"/>
              <w:right w:val="single" w:color="auto" w:sz="2" w:space="0"/>
            </w:tcBorders>
            <w:vAlign w:val="center"/>
          </w:tcPr>
          <w:p w14:paraId="48CD14B3">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51C84C38">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统一社会信用代码</w:t>
            </w:r>
          </w:p>
        </w:tc>
        <w:tc>
          <w:tcPr>
            <w:tcW w:w="1474" w:type="pct"/>
            <w:tcBorders>
              <w:top w:val="single" w:color="auto" w:sz="2" w:space="0"/>
              <w:left w:val="single" w:color="auto" w:sz="2" w:space="0"/>
              <w:bottom w:val="single" w:color="auto" w:sz="2" w:space="0"/>
            </w:tcBorders>
            <w:vAlign w:val="center"/>
          </w:tcPr>
          <w:p w14:paraId="1419207B">
            <w:pPr>
              <w:adjustRightInd w:val="0"/>
              <w:snapToGrid w:val="0"/>
              <w:spacing w:line="300" w:lineRule="exact"/>
              <w:jc w:val="center"/>
              <w:rPr>
                <w:rFonts w:hint="eastAsia" w:ascii="仿宋" w:hAnsi="仿宋" w:eastAsia="仿宋" w:cs="仿宋"/>
                <w:color w:val="auto"/>
                <w:spacing w:val="20"/>
                <w:szCs w:val="21"/>
                <w:highlight w:val="none"/>
              </w:rPr>
            </w:pPr>
          </w:p>
        </w:tc>
      </w:tr>
      <w:tr w14:paraId="6896F4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987" w:hRule="atLeast"/>
        </w:trPr>
        <w:tc>
          <w:tcPr>
            <w:tcW w:w="1053" w:type="pct"/>
            <w:tcBorders>
              <w:top w:val="single" w:color="auto" w:sz="2" w:space="0"/>
              <w:bottom w:val="single" w:color="auto" w:sz="2" w:space="0"/>
              <w:right w:val="single" w:color="auto" w:sz="2" w:space="0"/>
            </w:tcBorders>
            <w:vAlign w:val="center"/>
          </w:tcPr>
          <w:p w14:paraId="2F94B9E2">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开户名称</w:t>
            </w:r>
          </w:p>
        </w:tc>
        <w:tc>
          <w:tcPr>
            <w:tcW w:w="1366" w:type="pct"/>
            <w:tcBorders>
              <w:top w:val="single" w:color="auto" w:sz="2" w:space="0"/>
              <w:left w:val="single" w:color="auto" w:sz="2" w:space="0"/>
              <w:bottom w:val="single" w:color="auto" w:sz="2" w:space="0"/>
              <w:right w:val="single" w:color="auto" w:sz="2" w:space="0"/>
            </w:tcBorders>
            <w:vAlign w:val="center"/>
          </w:tcPr>
          <w:p w14:paraId="4AEAE621">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728F3B1">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开户名称</w:t>
            </w:r>
          </w:p>
        </w:tc>
        <w:tc>
          <w:tcPr>
            <w:tcW w:w="1474" w:type="pct"/>
            <w:tcBorders>
              <w:top w:val="single" w:color="auto" w:sz="2" w:space="0"/>
              <w:left w:val="single" w:color="auto" w:sz="2" w:space="0"/>
              <w:bottom w:val="single" w:color="auto" w:sz="2" w:space="0"/>
            </w:tcBorders>
            <w:vAlign w:val="center"/>
          </w:tcPr>
          <w:p w14:paraId="5C7ADF2B">
            <w:pPr>
              <w:adjustRightInd w:val="0"/>
              <w:snapToGrid w:val="0"/>
              <w:spacing w:line="300" w:lineRule="exact"/>
              <w:jc w:val="center"/>
              <w:rPr>
                <w:rFonts w:hint="eastAsia" w:ascii="仿宋" w:hAnsi="仿宋" w:eastAsia="仿宋" w:cs="仿宋"/>
                <w:color w:val="auto"/>
                <w:spacing w:val="20"/>
                <w:szCs w:val="21"/>
                <w:highlight w:val="none"/>
                <w:lang w:eastAsia="zh-CN"/>
              </w:rPr>
            </w:pPr>
          </w:p>
        </w:tc>
      </w:tr>
      <w:tr w14:paraId="647A35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6DAEEA1F">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w:t>
            </w:r>
          </w:p>
        </w:tc>
        <w:tc>
          <w:tcPr>
            <w:tcW w:w="1366" w:type="pct"/>
            <w:tcBorders>
              <w:top w:val="single" w:color="auto" w:sz="2" w:space="0"/>
              <w:left w:val="single" w:color="auto" w:sz="2" w:space="0"/>
              <w:bottom w:val="single" w:color="auto" w:sz="2" w:space="0"/>
              <w:right w:val="single" w:color="auto" w:sz="2" w:space="0"/>
            </w:tcBorders>
            <w:vAlign w:val="center"/>
          </w:tcPr>
          <w:p w14:paraId="6B8517E3">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5B90319">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w:t>
            </w:r>
          </w:p>
        </w:tc>
        <w:tc>
          <w:tcPr>
            <w:tcW w:w="1474" w:type="pct"/>
            <w:tcBorders>
              <w:top w:val="single" w:color="auto" w:sz="2" w:space="0"/>
              <w:left w:val="single" w:color="auto" w:sz="2" w:space="0"/>
              <w:bottom w:val="single" w:color="auto" w:sz="2" w:space="0"/>
            </w:tcBorders>
            <w:vAlign w:val="center"/>
          </w:tcPr>
          <w:p w14:paraId="0FA9F9D0">
            <w:pPr>
              <w:adjustRightInd w:val="0"/>
              <w:snapToGrid w:val="0"/>
              <w:spacing w:line="300" w:lineRule="exact"/>
              <w:jc w:val="center"/>
              <w:rPr>
                <w:rFonts w:hint="eastAsia" w:ascii="仿宋" w:hAnsi="仿宋" w:eastAsia="仿宋" w:cs="仿宋"/>
                <w:color w:val="auto"/>
                <w:spacing w:val="20"/>
                <w:szCs w:val="21"/>
                <w:highlight w:val="none"/>
              </w:rPr>
            </w:pPr>
          </w:p>
        </w:tc>
      </w:tr>
      <w:tr w14:paraId="4A4246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793705C4">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银行账号</w:t>
            </w:r>
          </w:p>
        </w:tc>
        <w:tc>
          <w:tcPr>
            <w:tcW w:w="1366" w:type="pct"/>
            <w:tcBorders>
              <w:top w:val="single" w:color="auto" w:sz="2" w:space="0"/>
              <w:left w:val="single" w:color="auto" w:sz="2" w:space="0"/>
              <w:bottom w:val="single" w:color="auto" w:sz="2" w:space="0"/>
              <w:right w:val="single" w:color="auto" w:sz="2" w:space="0"/>
            </w:tcBorders>
            <w:vAlign w:val="center"/>
          </w:tcPr>
          <w:p w14:paraId="3B3817D0">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088AC85F">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银行账号</w:t>
            </w:r>
          </w:p>
        </w:tc>
        <w:tc>
          <w:tcPr>
            <w:tcW w:w="1474" w:type="pct"/>
            <w:tcBorders>
              <w:top w:val="single" w:color="auto" w:sz="2" w:space="0"/>
              <w:left w:val="single" w:color="auto" w:sz="2" w:space="0"/>
              <w:bottom w:val="single" w:color="auto" w:sz="2" w:space="0"/>
            </w:tcBorders>
            <w:vAlign w:val="center"/>
          </w:tcPr>
          <w:p w14:paraId="3BCC0E2D">
            <w:pPr>
              <w:adjustRightInd w:val="0"/>
              <w:snapToGrid w:val="0"/>
              <w:spacing w:line="300" w:lineRule="exact"/>
              <w:jc w:val="center"/>
              <w:rPr>
                <w:rFonts w:hint="eastAsia" w:ascii="仿宋" w:hAnsi="仿宋" w:eastAsia="仿宋" w:cs="仿宋"/>
                <w:color w:val="auto"/>
                <w:spacing w:val="20"/>
                <w:szCs w:val="21"/>
                <w:highlight w:val="none"/>
              </w:rPr>
            </w:pPr>
          </w:p>
        </w:tc>
      </w:tr>
    </w:tbl>
    <w:p w14:paraId="54717BD6">
      <w:pPr>
        <w:pStyle w:val="2"/>
        <w:keepNext/>
        <w:keepLines/>
        <w:pageBreakBefore w:val="0"/>
        <w:widowControl w:val="0"/>
        <w:kinsoku/>
        <w:wordWrap/>
        <w:overflowPunct/>
        <w:topLinePunct w:val="0"/>
        <w:autoSpaceDE/>
        <w:autoSpaceDN/>
        <w:bidi w:val="0"/>
        <w:adjustRightInd w:val="0"/>
        <w:snapToGrid w:val="0"/>
        <w:spacing w:before="120" w:beforeLines="0" w:after="120" w:line="360" w:lineRule="auto"/>
        <w:jc w:val="center"/>
        <w:textAlignment w:val="auto"/>
        <w:outlineLvl w:val="2"/>
        <w:rPr>
          <w:rFonts w:hint="eastAsia" w:ascii="仿宋" w:hAnsi="仿宋" w:eastAsia="仿宋" w:cs="仿宋"/>
          <w:color w:val="auto"/>
          <w:szCs w:val="28"/>
          <w:highlight w:val="none"/>
        </w:rPr>
      </w:pPr>
      <w:r>
        <w:rPr>
          <w:rFonts w:hint="eastAsia" w:ascii="仿宋" w:hAnsi="仿宋" w:eastAsia="仿宋" w:cs="仿宋"/>
          <w:color w:val="auto"/>
          <w:sz w:val="21"/>
          <w:szCs w:val="21"/>
          <w:highlight w:val="none"/>
          <w:u w:val="single"/>
        </w:rPr>
        <w:br w:type="page"/>
      </w:r>
      <w:bookmarkStart w:id="2" w:name="_Toc27624"/>
      <w:r>
        <w:rPr>
          <w:rFonts w:hint="eastAsia" w:ascii="仿宋" w:hAnsi="仿宋" w:eastAsia="仿宋" w:cs="仿宋"/>
          <w:b/>
          <w:bCs/>
          <w:color w:val="auto"/>
          <w:szCs w:val="28"/>
          <w:highlight w:val="none"/>
        </w:rPr>
        <w:t>第二节 政府采购合同通用条款</w:t>
      </w:r>
      <w:bookmarkEnd w:id="2"/>
    </w:p>
    <w:p w14:paraId="3533B57B">
      <w:pPr>
        <w:tabs>
          <w:tab w:val="left" w:pos="8820"/>
          <w:tab w:val="left" w:pos="9345"/>
          <w:tab w:val="left" w:pos="9765"/>
        </w:tabs>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 xml:space="preserve">1. </w:t>
      </w:r>
      <w:r>
        <w:rPr>
          <w:rFonts w:hint="eastAsia" w:ascii="仿宋" w:hAnsi="仿宋" w:eastAsia="仿宋" w:cs="仿宋"/>
          <w:b/>
          <w:bCs/>
          <w:color w:val="auto"/>
          <w:sz w:val="24"/>
          <w:highlight w:val="none"/>
        </w:rPr>
        <w:t>定义</w:t>
      </w:r>
    </w:p>
    <w:p w14:paraId="095AB300">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1.1合同当事人</w:t>
      </w:r>
    </w:p>
    <w:p w14:paraId="3CA71F01">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（1）采购人（以下称甲方）是指使用财政性资金，通过政府采购方式向供应商购买货物及其相关服务的国家机关、事业单位、团体组织。</w:t>
      </w:r>
    </w:p>
    <w:p w14:paraId="3D3FA402">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（2）供应商（以下称乙方）是指参加政府采购活动并且中标（成交），向采购人提供合同约定的货物及其相关服务的法人、非法人组织或者自然人。</w:t>
      </w:r>
    </w:p>
    <w:p w14:paraId="6432953F">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（3）其他合同主体是指除采购人和供应商以外，</w:t>
      </w:r>
      <w:r>
        <w:rPr>
          <w:rFonts w:hint="eastAsia" w:ascii="仿宋" w:hAnsi="仿宋" w:eastAsia="仿宋" w:cs="仿宋"/>
          <w:bCs/>
          <w:color w:val="auto"/>
          <w:szCs w:val="21"/>
          <w:highlight w:val="none"/>
        </w:rPr>
        <w:t>依法参与合同缔结或履行，享有权利、承担义务的合同当事人</w:t>
      </w:r>
      <w:r>
        <w:rPr>
          <w:rFonts w:hint="eastAsia" w:ascii="仿宋" w:hAnsi="仿宋" w:eastAsia="仿宋" w:cs="仿宋"/>
          <w:color w:val="auto"/>
          <w:szCs w:val="21"/>
          <w:highlight w:val="none"/>
        </w:rPr>
        <w:t>。</w:t>
      </w:r>
    </w:p>
    <w:p w14:paraId="2B46300F">
      <w:pPr>
        <w:tabs>
          <w:tab w:val="left" w:pos="570"/>
          <w:tab w:val="left" w:pos="9240"/>
          <w:tab w:val="left" w:pos="9555"/>
        </w:tabs>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1.2本合同下列术语应解释为：</w:t>
      </w:r>
    </w:p>
    <w:p w14:paraId="2CEFA63A">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（1）“合同”系指</w:t>
      </w:r>
      <w:r>
        <w:rPr>
          <w:rFonts w:hint="eastAsia" w:ascii="仿宋" w:hAnsi="仿宋" w:eastAsia="仿宋" w:cs="仿宋"/>
          <w:bCs/>
          <w:color w:val="auto"/>
          <w:szCs w:val="21"/>
          <w:highlight w:val="none"/>
        </w:rPr>
        <w:t>合同当事人意思表示达成一致的任何协议，包括签署的</w:t>
      </w:r>
      <w:r>
        <w:rPr>
          <w:rFonts w:hint="eastAsia" w:ascii="仿宋" w:hAnsi="仿宋" w:eastAsia="仿宋" w:cs="仿宋"/>
          <w:color w:val="auto"/>
          <w:szCs w:val="21"/>
          <w:highlight w:val="none"/>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5CCFB66">
      <w:pPr>
        <w:tabs>
          <w:tab w:val="left" w:pos="570"/>
          <w:tab w:val="left" w:pos="9240"/>
          <w:tab w:val="left" w:pos="9555"/>
        </w:tabs>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（2）“合同价款”系指根据本合同规定乙方在全面履行合同义务后甲方应支付给乙方的价款。</w:t>
      </w:r>
    </w:p>
    <w:p w14:paraId="6CB45D31">
      <w:pPr>
        <w:tabs>
          <w:tab w:val="left" w:pos="570"/>
          <w:tab w:val="left" w:pos="9240"/>
          <w:tab w:val="left" w:pos="9555"/>
        </w:tabs>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（3）“货物”系指乙方根据本合同规定须向甲方提供的各种形态和种类的物品，包括原材料、设备、产品（包括软件）及相关的其备品备件、工具、手册及</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技术资料和材料等。</w:t>
      </w:r>
    </w:p>
    <w:p w14:paraId="1394A1AB">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（4）“相关服务”系指根据合同规定，乙方应提供的与货物有关的技术、管理和</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服务，包括但不限于：管理和质量保证、运输、保险、检验、现场准备、安装、集成、调试、培训、维修、废弃处置、技术支持等以及合同中规定乙方应承担的</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义务。</w:t>
      </w:r>
    </w:p>
    <w:p w14:paraId="1D57DDAF">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5B855087">
      <w:pPr>
        <w:tabs>
          <w:tab w:val="left" w:pos="570"/>
          <w:tab w:val="left" w:pos="9240"/>
          <w:tab w:val="left" w:pos="9555"/>
        </w:tabs>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w:t>
      </w:r>
    </w:p>
    <w:p w14:paraId="2F72B5EC">
      <w:pPr>
        <w:tabs>
          <w:tab w:val="left" w:pos="570"/>
          <w:tab w:val="left" w:pos="9240"/>
          <w:tab w:val="left" w:pos="9555"/>
        </w:tabs>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（7）其他术语解释，见【</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w:t>
      </w:r>
    </w:p>
    <w:p w14:paraId="5549E699">
      <w:pPr>
        <w:numPr>
          <w:ilvl w:val="0"/>
          <w:numId w:val="5"/>
        </w:num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合同标的及金额</w:t>
      </w:r>
    </w:p>
    <w:p w14:paraId="59BDB199">
      <w:pPr>
        <w:autoSpaceDE w:val="0"/>
        <w:autoSpaceDN w:val="0"/>
        <w:adjustRightInd w:val="0"/>
        <w:snapToGrid w:val="0"/>
        <w:spacing w:line="380" w:lineRule="exact"/>
        <w:ind w:firstLine="420" w:firstLineChars="200"/>
        <w:jc w:val="left"/>
        <w:rPr>
          <w:rFonts w:hint="eastAsia" w:ascii="仿宋" w:hAnsi="仿宋" w:eastAsia="仿宋" w:cs="仿宋"/>
          <w:b/>
          <w:bCs/>
          <w:i/>
          <w:iCs/>
          <w:color w:val="auto"/>
          <w:szCs w:val="21"/>
          <w:highlight w:val="none"/>
        </w:rPr>
      </w:pPr>
      <w:r>
        <w:rPr>
          <w:rFonts w:hint="eastAsia" w:ascii="仿宋" w:hAnsi="仿宋" w:eastAsia="仿宋" w:cs="仿宋"/>
          <w:color w:val="auto"/>
          <w:szCs w:val="21"/>
          <w:highlight w:val="none"/>
        </w:rPr>
        <w:t>2.1 合同标的及金额应与中标（成交）结果一致。乙方为履行本合同而发生的所有费用均应包含在合同价款中，甲方不再另行支付</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任何费用。</w:t>
      </w:r>
    </w:p>
    <w:p w14:paraId="2624A047">
      <w:pPr>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 履行合同的时间、地点和方式</w:t>
      </w:r>
    </w:p>
    <w:p w14:paraId="18F43B4E">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乙方应当在约定的时间、地点，按照约定方式履行合同。</w:t>
      </w:r>
    </w:p>
    <w:p w14:paraId="26987E49">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 甲方的权利和义务</w:t>
      </w:r>
    </w:p>
    <w:p w14:paraId="05F451D0">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157DDC4D">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4.2 甲方有权要求乙方按时提交各阶段有关安排计划，并有权定期核对乙方提供货物数量、规格、质量等内容。甲方有权督促乙方工作并要求乙方更换不符合要求的货物。</w:t>
      </w:r>
    </w:p>
    <w:p w14:paraId="7B629FCE">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4.3 甲方有权要求乙方对缺陷部分予以修复，并按合同约定享有货物保修及其他合同约定的权利。</w:t>
      </w:r>
    </w:p>
    <w:p w14:paraId="2C4AB8E2">
      <w:pPr>
        <w:snapToGrid w:val="0"/>
        <w:spacing w:line="38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4.4 甲方应当按照合同约定及时对交付的货物进行验收，未在</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约定的期限内对乙方履约提出任何异议或者向乙方作出任何说明的，视为验收通过。</w:t>
      </w:r>
    </w:p>
    <w:p w14:paraId="6CB983E5">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4.5 甲方应当根据合同约定及时向乙方支付合同价款，不得以内部人员变更、履行内部付款流程等为由，拒绝或迟延支付。</w:t>
      </w:r>
    </w:p>
    <w:p w14:paraId="3B959B0F">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4.6 国家法律法规规定及</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约定应由甲方承担的其他义务和责任。</w:t>
      </w:r>
    </w:p>
    <w:p w14:paraId="3CE15611">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5. 乙方的权利和义务</w:t>
      </w:r>
    </w:p>
    <w:p w14:paraId="1EAD352E">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5.1 签署合同后，乙方应确定项目负责人（或项目联系人），负责与本合同有关的事务。</w:t>
      </w:r>
    </w:p>
    <w:p w14:paraId="655EBB8A">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687A694A">
      <w:pPr>
        <w:pStyle w:val="3"/>
        <w:spacing w:line="380" w:lineRule="exact"/>
        <w:ind w:firstLine="369" w:firstLineChars="176"/>
        <w:rPr>
          <w:rFonts w:hint="eastAsia" w:ascii="仿宋" w:hAnsi="仿宋" w:eastAsia="仿宋" w:cs="仿宋"/>
          <w:color w:val="auto"/>
          <w:szCs w:val="21"/>
          <w:highlight w:val="none"/>
        </w:rPr>
      </w:pPr>
      <w:r>
        <w:rPr>
          <w:rFonts w:hint="eastAsia" w:ascii="仿宋" w:hAnsi="仿宋" w:eastAsia="仿宋" w:cs="仿宋"/>
          <w:color w:val="auto"/>
          <w:szCs w:val="21"/>
          <w:highlight w:val="none"/>
        </w:rPr>
        <w:t>5.3乙方有权根据合同约定向甲方收取合同价款。</w:t>
      </w:r>
    </w:p>
    <w:p w14:paraId="1F499ADF">
      <w:pPr>
        <w:pStyle w:val="3"/>
        <w:spacing w:line="380" w:lineRule="exact"/>
        <w:ind w:firstLine="369" w:firstLineChars="176"/>
        <w:rPr>
          <w:rFonts w:hint="eastAsia" w:ascii="仿宋" w:hAnsi="仿宋" w:eastAsia="仿宋" w:cs="仿宋"/>
          <w:color w:val="auto"/>
          <w:szCs w:val="21"/>
          <w:highlight w:val="none"/>
        </w:rPr>
      </w:pPr>
      <w:r>
        <w:rPr>
          <w:rFonts w:hint="eastAsia" w:ascii="仿宋" w:hAnsi="仿宋" w:eastAsia="仿宋" w:cs="仿宋"/>
          <w:color w:val="auto"/>
          <w:szCs w:val="21"/>
          <w:highlight w:val="none"/>
        </w:rPr>
        <w:t>5.4国家法律法规规定及</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约定应由乙方承担的其他义务和责任。</w:t>
      </w:r>
    </w:p>
    <w:p w14:paraId="669AA290">
      <w:pPr>
        <w:numPr>
          <w:ilvl w:val="0"/>
          <w:numId w:val="6"/>
        </w:num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合同履行</w:t>
      </w:r>
    </w:p>
    <w:p w14:paraId="0EA28858">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6.1 甲乙双方应当按照</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约定顺序履行合同义务；如果没有先后顺序的，应当同时履行。</w:t>
      </w:r>
    </w:p>
    <w:p w14:paraId="03E9E8B2">
      <w:pPr>
        <w:autoSpaceDE w:val="0"/>
        <w:autoSpaceDN w:val="0"/>
        <w:adjustRightInd w:val="0"/>
        <w:snapToGrid w:val="0"/>
        <w:spacing w:line="38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7E01A0DD">
      <w:p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7. 货物包装、运输、保险和交付要求</w:t>
      </w:r>
    </w:p>
    <w:p w14:paraId="16909CC5">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7.1 本合同</w:t>
      </w:r>
      <w:r>
        <w:rPr>
          <w:rFonts w:hint="eastAsia" w:ascii="仿宋" w:hAnsi="仿宋" w:eastAsia="仿宋" w:cs="仿宋"/>
          <w:bCs/>
          <w:color w:val="auto"/>
          <w:szCs w:val="21"/>
          <w:highlight w:val="none"/>
        </w:rPr>
        <w:t>涉及商品包装、快递包装的，</w:t>
      </w:r>
      <w:r>
        <w:rPr>
          <w:rFonts w:hint="eastAsia" w:ascii="仿宋" w:hAnsi="仿宋" w:eastAsia="仿宋" w:cs="仿宋"/>
          <w:color w:val="auto"/>
          <w:szCs w:val="21"/>
          <w:highlight w:val="none"/>
        </w:rPr>
        <w:t>除</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另有约定外，</w:t>
      </w:r>
      <w:r>
        <w:rPr>
          <w:rFonts w:hint="eastAsia" w:ascii="仿宋" w:hAnsi="仿宋" w:eastAsia="仿宋" w:cs="仿宋"/>
          <w:color w:val="auto"/>
          <w:szCs w:val="21"/>
          <w:highlight w:val="none"/>
        </w:rPr>
        <w:t>包装应适应远距离运输、防潮、防震、防锈和防野蛮装卸等要求，确保货物安全无损地运抵</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约定的</w:t>
      </w:r>
      <w:r>
        <w:rPr>
          <w:rFonts w:hint="eastAsia" w:ascii="仿宋" w:hAnsi="仿宋" w:eastAsia="仿宋" w:cs="仿宋"/>
          <w:color w:val="auto"/>
          <w:szCs w:val="21"/>
          <w:highlight w:val="none"/>
        </w:rPr>
        <w:t>指定现场。</w:t>
      </w:r>
    </w:p>
    <w:p w14:paraId="12E0B797">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7.2 除</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另有约定外，</w:t>
      </w:r>
      <w:r>
        <w:rPr>
          <w:rFonts w:hint="eastAsia" w:ascii="仿宋" w:hAnsi="仿宋" w:eastAsia="仿宋" w:cs="仿宋"/>
          <w:color w:val="auto"/>
          <w:szCs w:val="21"/>
          <w:highlight w:val="none"/>
        </w:rPr>
        <w:t>乙方负责办理将货物运抵本合同规定的交货地点，并装卸、交付至甲方的一切运输事项，相关费用应包含在合同价款中。</w:t>
      </w:r>
    </w:p>
    <w:p w14:paraId="5597A834">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7.3 货物保险要求按</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规定执行</w:t>
      </w:r>
      <w:r>
        <w:rPr>
          <w:rFonts w:hint="eastAsia" w:ascii="仿宋" w:hAnsi="仿宋" w:eastAsia="仿宋" w:cs="仿宋"/>
          <w:color w:val="auto"/>
          <w:szCs w:val="21"/>
          <w:highlight w:val="none"/>
        </w:rPr>
        <w:t>。</w:t>
      </w:r>
    </w:p>
    <w:p w14:paraId="46045785">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A292EE7">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7.5 乙方在运输到达之前应提前通知甲方，并提示货物运输装卸的注意事项，甲方配合乙方做好货物的接收工作。</w:t>
      </w:r>
    </w:p>
    <w:p w14:paraId="61AF072C">
      <w:pPr>
        <w:pStyle w:val="11"/>
        <w:spacing w:line="380" w:lineRule="exact"/>
        <w:ind w:firstLine="420"/>
        <w:rPr>
          <w:rFonts w:hint="eastAsia" w:ascii="仿宋" w:hAnsi="仿宋" w:eastAsia="仿宋" w:cs="仿宋"/>
          <w:color w:val="auto"/>
          <w:sz w:val="21"/>
          <w:highlight w:val="none"/>
        </w:rPr>
      </w:pPr>
      <w:r>
        <w:rPr>
          <w:rFonts w:hint="eastAsia" w:ascii="仿宋" w:hAnsi="仿宋" w:eastAsia="仿宋" w:cs="仿宋"/>
          <w:color w:val="auto"/>
          <w:kern w:val="2"/>
          <w:sz w:val="21"/>
          <w:highlight w:val="none"/>
        </w:rPr>
        <w:t>7.6 如因包装、运输问题导致货物损毁、丢失或者品质下降，甲方有权要求降价、换货、拒收部分或整批货物，由此产生的费用和损失，均由乙方承担。</w:t>
      </w:r>
    </w:p>
    <w:p w14:paraId="3266C7E4">
      <w:pPr>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 质量标准和保证</w:t>
      </w:r>
    </w:p>
    <w:p w14:paraId="6AD4A881">
      <w:pPr>
        <w:pStyle w:val="6"/>
        <w:adjustRightInd w:val="0"/>
        <w:snapToGrid w:val="0"/>
        <w:spacing w:line="380" w:lineRule="exact"/>
        <w:ind w:firstLine="420" w:firstLineChars="200"/>
        <w:jc w:val="left"/>
        <w:rPr>
          <w:rFonts w:hint="eastAsia" w:ascii="仿宋" w:hAnsi="仿宋" w:eastAsia="仿宋" w:cs="仿宋"/>
          <w:b/>
          <w:color w:val="auto"/>
          <w:highlight w:val="none"/>
        </w:rPr>
      </w:pPr>
      <w:r>
        <w:rPr>
          <w:rFonts w:hint="eastAsia" w:ascii="仿宋" w:hAnsi="仿宋" w:eastAsia="仿宋" w:cs="仿宋"/>
          <w:color w:val="auto"/>
          <w:highlight w:val="none"/>
        </w:rPr>
        <w:t>8.1 质量标准</w:t>
      </w:r>
    </w:p>
    <w:p w14:paraId="26648B7D">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306B15">
      <w:pPr>
        <w:pStyle w:val="6"/>
        <w:adjustRightInd w:val="0"/>
        <w:snapToGrid w:val="0"/>
        <w:spacing w:line="38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（2）采用中华人民共和国法定计量单位。</w:t>
      </w:r>
    </w:p>
    <w:p w14:paraId="10B6CECF">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（3）乙方所提供的货物应符合国家有关安全、环保、卫生的规定。</w:t>
      </w:r>
    </w:p>
    <w:p w14:paraId="3CEB510B">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60719D94">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8.2 保证</w:t>
      </w:r>
    </w:p>
    <w:p w14:paraId="31889CC2">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规定或乙方书面承诺（两者以较长的为准）的质量保证期内，本保证保持有效。</w:t>
      </w:r>
    </w:p>
    <w:p w14:paraId="22DB6C8E">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（2）在质量保证期内所发现的缺陷，甲方应尽快以书面形式通知乙方。</w:t>
      </w:r>
    </w:p>
    <w:p w14:paraId="22C2661B">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（3）乙方收到通知后，应在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规定的响应时间内以合理的速度免费维修或更换有缺陷的货物或部件。</w:t>
      </w:r>
    </w:p>
    <w:p w14:paraId="575B7EFB">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62ED7CE7">
      <w:pPr>
        <w:adjustRightInd w:val="0"/>
        <w:snapToGrid w:val="0"/>
        <w:spacing w:line="38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（5）乙方在约定的时间内未能弥补缺陷，甲方可采取必要的补救措施，但其风险和费用将由乙方承担，甲方根据合同约定对乙方行使的其他权利不受影响。</w:t>
      </w:r>
    </w:p>
    <w:p w14:paraId="77A43F4C">
      <w:p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9. 权利瑕疵担保</w:t>
      </w:r>
    </w:p>
    <w:p w14:paraId="7514B072">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乙方保证对其出售的货物享有合法的权利。</w:t>
      </w:r>
    </w:p>
    <w:p w14:paraId="294880C2">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9.2 </w:t>
      </w:r>
      <w:r>
        <w:rPr>
          <w:rFonts w:hint="eastAsia" w:ascii="仿宋" w:hAnsi="仿宋" w:eastAsia="仿宋" w:cs="仿宋"/>
          <w:color w:val="auto"/>
          <w:szCs w:val="15"/>
          <w:highlight w:val="none"/>
        </w:rPr>
        <w:t>乙方保证在交付的货物上不存在抵押权等担保物权。</w:t>
      </w:r>
    </w:p>
    <w:p w14:paraId="71906A12">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如甲方使用上述货物构成对第三人侵权的，则由乙方承担全部责任。</w:t>
      </w:r>
    </w:p>
    <w:p w14:paraId="662E0FB6">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10. 知识产权保护</w:t>
      </w:r>
    </w:p>
    <w:p w14:paraId="436090DA">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 乙方对其所销售的货物应当享有知识产权或经权利人合法授权，保证没有侵犯任何第三人的知识产权等权利。</w:t>
      </w:r>
      <w:bookmarkStart w:id="3" w:name="_Hlk163047038"/>
      <w:r>
        <w:rPr>
          <w:rFonts w:hint="eastAsia" w:ascii="仿宋" w:hAnsi="仿宋" w:eastAsia="仿宋" w:cs="仿宋"/>
          <w:color w:val="auto"/>
          <w:szCs w:val="15"/>
          <w:highlight w:val="none"/>
        </w:rPr>
        <w:t>因违反前述约定对第三人构成侵权的，应当由乙方向第三人承担法律责任；甲方依法向第三人赔偿后，有权向乙方追偿。甲方有其他损失的，乙方应当赔偿</w:t>
      </w:r>
      <w:bookmarkEnd w:id="3"/>
      <w:r>
        <w:rPr>
          <w:rFonts w:hint="eastAsia" w:ascii="仿宋" w:hAnsi="仿宋" w:eastAsia="仿宋" w:cs="仿宋"/>
          <w:color w:val="auto"/>
          <w:szCs w:val="21"/>
          <w:highlight w:val="none"/>
        </w:rPr>
        <w:t>。</w:t>
      </w:r>
    </w:p>
    <w:p w14:paraId="46D78668">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11. 保密义务</w:t>
      </w:r>
    </w:p>
    <w:p w14:paraId="2BDD36B9">
      <w:pPr>
        <w:autoSpaceDE w:val="0"/>
        <w:autoSpaceDN w:val="0"/>
        <w:adjustRightInd w:val="0"/>
        <w:snapToGrid w:val="0"/>
        <w:spacing w:line="380" w:lineRule="exact"/>
        <w:ind w:firstLine="420" w:firstLineChars="200"/>
        <w:jc w:val="left"/>
        <w:rPr>
          <w:rFonts w:hint="eastAsia" w:ascii="仿宋" w:hAnsi="仿宋" w:eastAsia="仿宋" w:cs="仿宋"/>
          <w:color w:val="auto"/>
          <w:szCs w:val="15"/>
          <w:highlight w:val="none"/>
        </w:rPr>
      </w:pPr>
      <w:r>
        <w:rPr>
          <w:rFonts w:hint="eastAsia" w:ascii="仿宋" w:hAnsi="仿宋" w:eastAsia="仿宋" w:cs="仿宋"/>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15"/>
          <w:highlight w:val="none"/>
        </w:rPr>
        <w:t>中约定。</w:t>
      </w:r>
    </w:p>
    <w:p w14:paraId="78E7AD5D">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12. 合同价款支付</w:t>
      </w:r>
    </w:p>
    <w:p w14:paraId="30AE6675">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12.1 合同价款支付按照国库集中支付制度及财政管理相关规定执行。</w:t>
      </w:r>
    </w:p>
    <w:p w14:paraId="1B428220">
      <w:pPr>
        <w:spacing w:line="380" w:lineRule="exact"/>
        <w:ind w:firstLine="420" w:firstLineChars="200"/>
        <w:outlineLvl w:val="9"/>
        <w:rPr>
          <w:rFonts w:hint="eastAsia" w:ascii="仿宋" w:hAnsi="仿宋" w:eastAsia="仿宋" w:cs="仿宋"/>
          <w:color w:val="auto"/>
          <w:highlight w:val="none"/>
        </w:rPr>
      </w:pPr>
      <w:r>
        <w:rPr>
          <w:rFonts w:hint="eastAsia" w:ascii="仿宋" w:hAnsi="仿宋" w:eastAsia="仿宋" w:cs="仿宋"/>
          <w:b w:val="0"/>
          <w:bCs w:val="0"/>
          <w:color w:val="auto"/>
          <w:sz w:val="21"/>
          <w:szCs w:val="21"/>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color w:val="auto"/>
          <w:sz w:val="21"/>
          <w:szCs w:val="21"/>
          <w:highlight w:val="none"/>
        </w:rPr>
        <w:t>政府采购合同专用条款</w:t>
      </w:r>
      <w:r>
        <w:rPr>
          <w:rFonts w:hint="eastAsia" w:ascii="仿宋" w:hAnsi="仿宋" w:eastAsia="仿宋" w:cs="仿宋"/>
          <w:b w:val="0"/>
          <w:bCs w:val="0"/>
          <w:color w:val="auto"/>
          <w:sz w:val="21"/>
          <w:szCs w:val="21"/>
          <w:highlight w:val="none"/>
        </w:rPr>
        <w:t>】中约定。</w:t>
      </w:r>
    </w:p>
    <w:p w14:paraId="4CF60629">
      <w:pPr>
        <w:pStyle w:val="3"/>
        <w:spacing w:line="380" w:lineRule="exact"/>
        <w:rPr>
          <w:rFonts w:hint="eastAsia" w:ascii="仿宋" w:hAnsi="仿宋" w:eastAsia="仿宋" w:cs="仿宋"/>
          <w:b/>
          <w:bCs/>
          <w:color w:val="auto"/>
          <w:highlight w:val="none"/>
        </w:rPr>
      </w:pPr>
      <w:r>
        <w:rPr>
          <w:rFonts w:hint="eastAsia" w:ascii="仿宋" w:hAnsi="仿宋" w:eastAsia="仿宋" w:cs="仿宋"/>
          <w:b/>
          <w:bCs/>
          <w:color w:val="auto"/>
          <w:highlight w:val="none"/>
        </w:rPr>
        <w:t>13. 履约保证金</w:t>
      </w:r>
    </w:p>
    <w:p w14:paraId="1FFA2D74">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13.1 </w:t>
      </w:r>
      <w:r>
        <w:rPr>
          <w:rFonts w:hint="eastAsia" w:ascii="仿宋" w:hAnsi="仿宋" w:eastAsia="仿宋" w:cs="仿宋"/>
          <w:color w:val="auto"/>
          <w:szCs w:val="15"/>
          <w:highlight w:val="none"/>
        </w:rPr>
        <w:t>乙方应当以支票、汇票、本票或者金融机构、担保机构出具的保函等非现金形式提交。</w:t>
      </w:r>
    </w:p>
    <w:p w14:paraId="4DA61825">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13.2 如果乙方出现</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15"/>
          <w:highlight w:val="none"/>
        </w:rPr>
        <w:t>约定情形的</w:t>
      </w:r>
      <w:r>
        <w:rPr>
          <w:rFonts w:hint="eastAsia" w:ascii="仿宋" w:hAnsi="仿宋" w:eastAsia="仿宋" w:cs="仿宋"/>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7229BAC9">
      <w:pPr>
        <w:spacing w:line="380" w:lineRule="exact"/>
        <w:ind w:firstLine="420"/>
        <w:rPr>
          <w:rFonts w:hint="eastAsia" w:ascii="仿宋" w:hAnsi="仿宋" w:eastAsia="仿宋" w:cs="仿宋"/>
          <w:color w:val="auto"/>
          <w:highlight w:val="none"/>
        </w:rPr>
      </w:pPr>
      <w:r>
        <w:rPr>
          <w:rFonts w:hint="eastAsia" w:ascii="仿宋" w:hAnsi="仿宋" w:eastAsia="仿宋" w:cs="仿宋"/>
          <w:color w:val="auto"/>
          <w:szCs w:val="21"/>
          <w:highlight w:val="none"/>
        </w:rPr>
        <w:t>13.3 甲方在项目通过验收后按照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规定的时间内将履约保证金退还乙方；逾期退还的，乙方可要求甲方支付违约金，违约金按照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规定支付。</w:t>
      </w:r>
    </w:p>
    <w:p w14:paraId="7A53A1DF">
      <w:p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 xml:space="preserve">14. </w:t>
      </w:r>
      <w:r>
        <w:rPr>
          <w:rFonts w:hint="eastAsia" w:ascii="仿宋" w:hAnsi="仿宋" w:eastAsia="仿宋" w:cs="仿宋"/>
          <w:b/>
          <w:color w:val="auto"/>
          <w:sz w:val="24"/>
          <w:highlight w:val="none"/>
        </w:rPr>
        <w:t>售后服务</w:t>
      </w:r>
    </w:p>
    <w:p w14:paraId="5B959A99">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 除项目不涉及或采购活动中明确约定无须承担外，乙方还应提供下列服务：</w:t>
      </w:r>
    </w:p>
    <w:p w14:paraId="5685F495">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（1）货物的现场移动、安装、调试、启动监督及技术支持；</w:t>
      </w:r>
    </w:p>
    <w:p w14:paraId="3F935479">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（2）提供货物组装和维修所需的专用工具和辅助材料；</w:t>
      </w:r>
    </w:p>
    <w:p w14:paraId="5E8E0FCC">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（3）在</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21"/>
          <w:highlight w:val="none"/>
        </w:rPr>
        <w:t>约定的期限内对所有的货物实施运行监督、维修，但前提条件是该服务并不能免除乙方在质量保证期内所承担的义务；</w:t>
      </w:r>
    </w:p>
    <w:p w14:paraId="2EA163C1">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（4）在制造商所在地或指定现场就货物的安装、启动、运营、维护、废弃处置等对甲方操作人员进行培训</w:t>
      </w:r>
      <w:r>
        <w:rPr>
          <w:rFonts w:hint="eastAsia" w:ascii="仿宋" w:hAnsi="仿宋" w:eastAsia="仿宋" w:cs="仿宋"/>
          <w:color w:val="auto"/>
          <w:szCs w:val="15"/>
          <w:highlight w:val="none"/>
        </w:rPr>
        <w:t>；</w:t>
      </w:r>
    </w:p>
    <w:p w14:paraId="090D8752">
      <w:pPr>
        <w:pStyle w:val="11"/>
        <w:spacing w:line="380" w:lineRule="exact"/>
        <w:ind w:firstLine="420"/>
        <w:rPr>
          <w:rFonts w:hint="eastAsia" w:ascii="仿宋" w:hAnsi="仿宋" w:eastAsia="仿宋" w:cs="仿宋"/>
          <w:color w:val="auto"/>
          <w:sz w:val="21"/>
          <w:highlight w:val="none"/>
        </w:rPr>
      </w:pPr>
      <w:r>
        <w:rPr>
          <w:rFonts w:hint="eastAsia" w:ascii="仿宋" w:hAnsi="仿宋" w:eastAsia="仿宋" w:cs="仿宋"/>
          <w:color w:val="auto"/>
          <w:sz w:val="21"/>
          <w:highlight w:val="none"/>
        </w:rPr>
        <w:t>（5）依照法律、行政法规的规定或者按照</w:t>
      </w:r>
      <w:r>
        <w:rPr>
          <w:rFonts w:hint="eastAsia" w:ascii="仿宋" w:hAnsi="仿宋" w:eastAsia="仿宋" w:cs="仿宋"/>
          <w:b/>
          <w:bCs/>
          <w:color w:val="auto"/>
          <w:sz w:val="21"/>
          <w:highlight w:val="none"/>
        </w:rPr>
        <w:t>【政府采购合同专用条款】</w:t>
      </w:r>
      <w:r>
        <w:rPr>
          <w:rFonts w:hint="eastAsia" w:ascii="仿宋" w:hAnsi="仿宋" w:eastAsia="仿宋" w:cs="仿宋"/>
          <w:color w:val="auto"/>
          <w:sz w:val="21"/>
          <w:highlight w:val="none"/>
        </w:rPr>
        <w:t>约定，货物在有效使用年限届满后应予回收的，乙方负有自行或者委托第三人对货物予以回收的义务；</w:t>
      </w:r>
    </w:p>
    <w:p w14:paraId="6953EEBF">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规定由乙方提供的其他服务。</w:t>
      </w:r>
    </w:p>
    <w:p w14:paraId="2E42F74C">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乙方提供的售后服务的费用已包含在合同价款中，甲方不再另行支付。</w:t>
      </w:r>
    </w:p>
    <w:p w14:paraId="2E9C20BC">
      <w:p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15. 违约责任</w:t>
      </w:r>
    </w:p>
    <w:p w14:paraId="78B9DBA2">
      <w:pPr>
        <w:adjustRightInd w:val="0"/>
        <w:snapToGrid w:val="0"/>
        <w:spacing w:line="38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15.1质量瑕疵的违约责任</w:t>
      </w:r>
    </w:p>
    <w:p w14:paraId="78F7B864">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乙方提供的产品不符合合同约定的质量标准或存在产品质量缺陷，甲方有权要求乙方根据</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要求</w:t>
      </w:r>
      <w:r>
        <w:rPr>
          <w:rFonts w:hint="eastAsia" w:ascii="仿宋" w:hAnsi="仿宋" w:eastAsia="仿宋" w:cs="仿宋"/>
          <w:color w:val="auto"/>
          <w:szCs w:val="21"/>
          <w:highlight w:val="none"/>
        </w:rPr>
        <w:t>及时修理、重作、更换，并承担由此给甲方造成的损失。</w:t>
      </w:r>
    </w:p>
    <w:p w14:paraId="1A6BFB9D">
      <w:pPr>
        <w:autoSpaceDE w:val="0"/>
        <w:autoSpaceDN w:val="0"/>
        <w:adjustRightInd w:val="0"/>
        <w:snapToGrid w:val="0"/>
        <w:spacing w:line="38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15.2 迟延交货的违约责任</w:t>
      </w:r>
    </w:p>
    <w:p w14:paraId="5B863A38">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F552741">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（2）如果乙方没有按照合同规定的时间交货和提供相关服务，甲方有权从货款中扣除误期赔偿费而不影响合同项下的其他补救方法，赔偿费按</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规定执行。如果涉及公共利益，且赔偿金额无法弥补公共利益损失，甲方可要求继续履行或者采取其他补救措施。</w:t>
      </w:r>
    </w:p>
    <w:p w14:paraId="426F5023">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15.3 迟延支付的违约责任</w:t>
      </w:r>
    </w:p>
    <w:p w14:paraId="2316AFD7">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甲方存在迟延支付乙方合同款项的，应当承担</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规定的逾期付款利息。</w:t>
      </w:r>
    </w:p>
    <w:p w14:paraId="61BA63B0">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15.4其他违约责任根据项目实际需要按</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规定执行。</w:t>
      </w:r>
    </w:p>
    <w:p w14:paraId="36BB30D4">
      <w:pPr>
        <w:numPr>
          <w:ilvl w:val="0"/>
          <w:numId w:val="7"/>
        </w:num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合同变更、中止与终止</w:t>
      </w:r>
    </w:p>
    <w:p w14:paraId="1C248DD7">
      <w:pPr>
        <w:adjustRightInd w:val="0"/>
        <w:snapToGrid w:val="0"/>
        <w:spacing w:line="38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16.1合同的变更</w:t>
      </w:r>
    </w:p>
    <w:p w14:paraId="782BC943">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政府采购合同履行中，在不改变合同其他条款的前提下，甲方可以在合同价款10%的范围内追加与合同标的相同的货物，并就此与乙方协商一致后签订补充协议。</w:t>
      </w:r>
    </w:p>
    <w:p w14:paraId="78560ED3">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16.2合同的中止</w:t>
      </w:r>
    </w:p>
    <w:p w14:paraId="4425D15F">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（1）合同履行过程中因供应商就采购文件、采购过程或结果提起投诉的，甲方认为有必要的，可以中止合同的履行。</w:t>
      </w:r>
    </w:p>
    <w:p w14:paraId="4186F468">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CB5F280">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6FC6D890">
      <w:pPr>
        <w:snapToGrid w:val="0"/>
        <w:spacing w:line="38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（4）甲方不得以行政区划调整、政府换届、机构或者职能调整以及相关责任人更替为由中止合同。</w:t>
      </w:r>
    </w:p>
    <w:p w14:paraId="1B367752">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16.3合同的终止</w:t>
      </w:r>
    </w:p>
    <w:p w14:paraId="59BC44C3">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（1）合同因有效期限届满而终止；</w:t>
      </w:r>
    </w:p>
    <w:p w14:paraId="171B81F0">
      <w:pPr>
        <w:snapToGrid w:val="0"/>
        <w:spacing w:line="3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（2）乙方未按合同约定履行，构成根本性违约的，甲方有权终止合同，并追究乙方的违约责任。</w:t>
      </w:r>
    </w:p>
    <w:p w14:paraId="4D62D4D9">
      <w:pPr>
        <w:pStyle w:val="11"/>
        <w:spacing w:line="38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16.4 </w:t>
      </w:r>
      <w:r>
        <w:rPr>
          <w:rFonts w:hint="eastAsia" w:ascii="仿宋" w:hAnsi="仿宋" w:eastAsia="仿宋" w:cs="仿宋"/>
          <w:color w:val="auto"/>
          <w:kern w:val="2"/>
          <w:sz w:val="21"/>
          <w:highlight w:val="none"/>
        </w:rPr>
        <w:t>涉及国家利益、社会公共利益的情形</w:t>
      </w:r>
    </w:p>
    <w:p w14:paraId="1268A4BA">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3C4B6041">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17. 合同分包</w:t>
      </w:r>
    </w:p>
    <w:p w14:paraId="76D3A4AD">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 乙方不得将合同转包给其他供应商。涉及合同分包的，乙方应根据采购文件和投标（响应）文件规定进行合同分包。</w:t>
      </w:r>
    </w:p>
    <w:p w14:paraId="52645DA5">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17.2 乙方执行政府采购政策向中小企业依法分包的，乙方应当按采购文件和投标（响应）文件签订分包意向协议，分包意向协议属于本合同组成部分。</w:t>
      </w:r>
    </w:p>
    <w:p w14:paraId="6CD146DD">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18. 不可抗力</w:t>
      </w:r>
    </w:p>
    <w:p w14:paraId="768CE912">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18.1 不可抗力是指合同双方不能预见、不能避免且不能克服的客观情况。</w:t>
      </w:r>
    </w:p>
    <w:p w14:paraId="3458441B">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18.2 任何一方对由于不可抗力造成的部分或全部不能履行合同不承担违约责任。但迟延履行后发生不可抗力的，不能免除责任。</w:t>
      </w:r>
    </w:p>
    <w:p w14:paraId="6621405E">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EEDBE67">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19. 解决争议的方法</w:t>
      </w:r>
    </w:p>
    <w:p w14:paraId="75337B2F">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3208C05B">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19.2 选择仲裁的，应在</w:t>
      </w:r>
      <w:r>
        <w:rPr>
          <w:rFonts w:hint="eastAsia" w:ascii="仿宋" w:hAnsi="仿宋" w:eastAsia="仿宋" w:cs="仿宋"/>
          <w:b/>
          <w:bCs/>
          <w:color w:val="auto"/>
          <w:sz w:val="21"/>
          <w:highlight w:val="none"/>
        </w:rPr>
        <w:t>【政府采购合同专用条款】</w:t>
      </w:r>
      <w:r>
        <w:rPr>
          <w:rFonts w:hint="eastAsia" w:ascii="仿宋" w:hAnsi="仿宋" w:eastAsia="仿宋" w:cs="仿宋"/>
          <w:color w:val="auto"/>
          <w:sz w:val="21"/>
          <w:highlight w:val="none"/>
        </w:rPr>
        <w:t>中明确仲裁机构及仲裁地；通过诉讼方式解决的，可以在</w:t>
      </w:r>
      <w:r>
        <w:rPr>
          <w:rFonts w:hint="eastAsia" w:ascii="仿宋" w:hAnsi="仿宋" w:eastAsia="仿宋" w:cs="仿宋"/>
          <w:b/>
          <w:bCs/>
          <w:color w:val="auto"/>
          <w:sz w:val="21"/>
          <w:highlight w:val="none"/>
        </w:rPr>
        <w:t>【政府采购合同专用条款】</w:t>
      </w:r>
      <w:r>
        <w:rPr>
          <w:rFonts w:hint="eastAsia" w:ascii="仿宋" w:hAnsi="仿宋" w:eastAsia="仿宋" w:cs="仿宋"/>
          <w:color w:val="auto"/>
          <w:sz w:val="21"/>
          <w:highlight w:val="none"/>
        </w:rPr>
        <w:t>中进一步约定选择与争议有实际联系的地点的人民法院管辖，但管辖法院的约定不得违反级别管辖和专属管辖的规定。</w:t>
      </w:r>
    </w:p>
    <w:p w14:paraId="41C64A36">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19.3 如甲乙双方有争议的事项不影响合同其他部分的履行，在争议解决期间，合同其他部分应当继续履行。</w:t>
      </w:r>
    </w:p>
    <w:p w14:paraId="1995E85B">
      <w:pPr>
        <w:autoSpaceDE w:val="0"/>
        <w:autoSpaceDN w:val="0"/>
        <w:adjustRightInd w:val="0"/>
        <w:snapToGrid w:val="0"/>
        <w:spacing w:line="380" w:lineRule="exact"/>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20. 政府采购政策</w:t>
      </w:r>
    </w:p>
    <w:p w14:paraId="10285DE3">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20.1 </w:t>
      </w:r>
      <w:r>
        <w:rPr>
          <w:rFonts w:hint="eastAsia" w:ascii="仿宋" w:hAnsi="仿宋" w:eastAsia="仿宋" w:cs="仿宋"/>
          <w:color w:val="auto"/>
          <w:highlight w:val="none"/>
          <w:lang w:val="en-GB"/>
        </w:rPr>
        <w:t>本合同应当按照规定执行政府采购政策。</w:t>
      </w:r>
    </w:p>
    <w:p w14:paraId="4A32B2D6">
      <w:pPr>
        <w:autoSpaceDE w:val="0"/>
        <w:autoSpaceDN w:val="0"/>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20.2 本合同依法执行政府采购政策的方式和内容，属于合同履约验收的范围。</w:t>
      </w:r>
      <w:r>
        <w:rPr>
          <w:rFonts w:hint="eastAsia" w:ascii="仿宋" w:hAnsi="仿宋" w:eastAsia="仿宋" w:cs="仿宋"/>
          <w:color w:val="auto"/>
          <w:highlight w:val="none"/>
        </w:rPr>
        <w:t>甲乙双方</w:t>
      </w:r>
      <w:r>
        <w:rPr>
          <w:rFonts w:hint="eastAsia" w:ascii="仿宋" w:hAnsi="仿宋" w:eastAsia="仿宋" w:cs="仿宋"/>
          <w:color w:val="auto"/>
          <w:highlight w:val="none"/>
          <w:lang w:val="en-GB"/>
        </w:rPr>
        <w:t>未按规定要求执行政府采购政策造成损失的</w:t>
      </w:r>
      <w:r>
        <w:rPr>
          <w:rFonts w:hint="eastAsia" w:ascii="仿宋" w:hAnsi="仿宋" w:eastAsia="仿宋" w:cs="仿宋"/>
          <w:color w:val="auto"/>
          <w:szCs w:val="21"/>
          <w:highlight w:val="none"/>
        </w:rPr>
        <w:t>，有过错的一方应当承担赔偿责任，双方都有过错的，各自承担相应的责任。</w:t>
      </w:r>
    </w:p>
    <w:p w14:paraId="48BA6A6A">
      <w:pPr>
        <w:pStyle w:val="3"/>
        <w:spacing w:line="38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5C4A0C1">
      <w:p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21. 法律适用</w:t>
      </w:r>
    </w:p>
    <w:p w14:paraId="0ECA0506">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21.1 本合同的订立、生效、解释、履行及与本合同有关的争议解决，均适用法律、行政法规。</w:t>
      </w:r>
    </w:p>
    <w:p w14:paraId="5AABA84B">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21.2 本合同条款与法律、行政法规的强制性规定不一致的，双方当事人应按照法律、行政法规的强制性规定修改本合同的相关条款。</w:t>
      </w:r>
    </w:p>
    <w:p w14:paraId="33EA31A3">
      <w:pPr>
        <w:numPr>
          <w:ilvl w:val="255"/>
          <w:numId w:val="0"/>
        </w:num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22. 通知</w:t>
      </w:r>
    </w:p>
    <w:p w14:paraId="6636EEB2">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22.1 本合同任何一方向对方发出的通知、信件、数据电文等，应当发送至本合同第一部分《政府采购合同协议书》所约定的通讯地址、联系人、联系电话或电子邮箱。</w:t>
      </w:r>
    </w:p>
    <w:p w14:paraId="1EB59BF6">
      <w:pPr>
        <w:pStyle w:val="11"/>
        <w:spacing w:line="380" w:lineRule="exact"/>
        <w:ind w:firstLine="0" w:firstLineChars="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2EEFDA26">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22.3本合同一方给另一方的通知均应采用书面形式，传真或快递送到本合同中规定的对方的地址和办理签收手续。</w:t>
      </w:r>
    </w:p>
    <w:p w14:paraId="7F6B00D3">
      <w:pPr>
        <w:adjustRightInd w:val="0"/>
        <w:snapToGrid w:val="0"/>
        <w:spacing w:line="38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22.4通知以送达之日或通知书中规定的生效之日起生效，两者中以较迟之日为准。</w:t>
      </w:r>
    </w:p>
    <w:p w14:paraId="53BF2108">
      <w:pPr>
        <w:numPr>
          <w:ilvl w:val="0"/>
          <w:numId w:val="8"/>
        </w:num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合同未尽事项</w:t>
      </w:r>
    </w:p>
    <w:p w14:paraId="09DC0747">
      <w:pPr>
        <w:adjustRightInd w:val="0"/>
        <w:snapToGrid w:val="0"/>
        <w:spacing w:line="38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23.1合同未尽事项见</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w:t>
      </w:r>
    </w:p>
    <w:p w14:paraId="4C4726F2">
      <w:pPr>
        <w:adjustRightInd w:val="0"/>
        <w:snapToGrid w:val="0"/>
        <w:spacing w:line="380" w:lineRule="exact"/>
        <w:jc w:val="left"/>
        <w:rPr>
          <w:rFonts w:hint="eastAsia" w:ascii="仿宋" w:hAnsi="仿宋" w:eastAsia="仿宋" w:cs="仿宋"/>
          <w:color w:val="auto"/>
          <w:sz w:val="28"/>
          <w:szCs w:val="28"/>
          <w:highlight w:val="none"/>
        </w:rPr>
      </w:pPr>
      <w:r>
        <w:rPr>
          <w:rFonts w:hint="eastAsia" w:ascii="仿宋" w:hAnsi="仿宋" w:eastAsia="仿宋" w:cs="仿宋"/>
          <w:bCs/>
          <w:color w:val="auto"/>
          <w:szCs w:val="21"/>
          <w:highlight w:val="none"/>
        </w:rPr>
        <w:t xml:space="preserve">    23.2 合同附件与合同正文具有同等的法律效力。</w:t>
      </w:r>
      <w:bookmarkStart w:id="4" w:name="_Toc20313"/>
    </w:p>
    <w:p w14:paraId="39413D3E">
      <w:pPr>
        <w:adjustRightInd w:val="0"/>
        <w:snapToGrid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94EECC0">
      <w:pPr>
        <w:pStyle w:val="2"/>
        <w:keepNext/>
        <w:keepLines/>
        <w:pageBreakBefore w:val="0"/>
        <w:widowControl w:val="0"/>
        <w:kinsoku/>
        <w:wordWrap/>
        <w:overflowPunct/>
        <w:topLinePunct w:val="0"/>
        <w:autoSpaceDE/>
        <w:autoSpaceDN/>
        <w:bidi w:val="0"/>
        <w:adjustRightInd w:val="0"/>
        <w:snapToGrid w:val="0"/>
        <w:spacing w:before="120" w:after="120" w:line="360" w:lineRule="auto"/>
        <w:jc w:val="center"/>
        <w:textAlignment w:val="auto"/>
        <w:outlineLvl w:val="2"/>
        <w:rPr>
          <w:rFonts w:hint="eastAsia" w:ascii="仿宋" w:hAnsi="仿宋" w:eastAsia="仿宋" w:cs="仿宋"/>
          <w:b w:val="0"/>
          <w:bCs w:val="0"/>
          <w:color w:val="auto"/>
          <w:szCs w:val="28"/>
          <w:highlight w:val="none"/>
        </w:rPr>
      </w:pPr>
      <w:r>
        <w:rPr>
          <w:rFonts w:hint="eastAsia" w:ascii="仿宋" w:hAnsi="仿宋" w:eastAsia="仿宋" w:cs="仿宋"/>
          <w:b/>
          <w:bCs/>
          <w:color w:val="auto"/>
          <w:szCs w:val="28"/>
          <w:highlight w:val="none"/>
        </w:rPr>
        <w:t>第三节 政府采购合同专用条款</w:t>
      </w:r>
      <w:bookmarkEnd w:id="4"/>
    </w:p>
    <w:tbl>
      <w:tblPr>
        <w:tblStyle w:val="8"/>
        <w:tblW w:w="958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6239"/>
      </w:tblGrid>
      <w:tr w14:paraId="0AD61E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D72BDF">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3F7AC27">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第1.2（6）项</w:t>
            </w:r>
          </w:p>
        </w:tc>
        <w:tc>
          <w:tcPr>
            <w:tcW w:w="1742" w:type="dxa"/>
            <w:vAlign w:val="center"/>
          </w:tcPr>
          <w:p w14:paraId="0E3FBF2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联合体具体要求</w:t>
            </w:r>
          </w:p>
        </w:tc>
        <w:tc>
          <w:tcPr>
            <w:tcW w:w="6239" w:type="dxa"/>
            <w:vAlign w:val="center"/>
          </w:tcPr>
          <w:p w14:paraId="36F1B459">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4ED6DE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6CEC19C">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5E4FCB4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第1.2（7）项</w:t>
            </w:r>
          </w:p>
        </w:tc>
        <w:tc>
          <w:tcPr>
            <w:tcW w:w="1742" w:type="dxa"/>
            <w:vAlign w:val="center"/>
          </w:tcPr>
          <w:p w14:paraId="604EC274">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其他术语解释</w:t>
            </w:r>
          </w:p>
        </w:tc>
        <w:tc>
          <w:tcPr>
            <w:tcW w:w="6239" w:type="dxa"/>
            <w:vAlign w:val="center"/>
          </w:tcPr>
          <w:p w14:paraId="62CC3EE4">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1E4A36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4B4B5AE">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5D38A3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第4.4款</w:t>
            </w:r>
          </w:p>
        </w:tc>
        <w:tc>
          <w:tcPr>
            <w:tcW w:w="1742" w:type="dxa"/>
            <w:vAlign w:val="center"/>
          </w:tcPr>
          <w:p w14:paraId="37FA0DD5">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履约验收中甲方提出异议或作出说明的期限</w:t>
            </w:r>
          </w:p>
        </w:tc>
        <w:tc>
          <w:tcPr>
            <w:tcW w:w="6239" w:type="dxa"/>
            <w:vAlign w:val="center"/>
          </w:tcPr>
          <w:p w14:paraId="50809EA6">
            <w:pPr>
              <w:spacing w:line="360" w:lineRule="auto"/>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从乙方提出验收申请之日起</w:t>
            </w:r>
            <w:r>
              <w:rPr>
                <w:rFonts w:hint="eastAsia" w:ascii="仿宋" w:hAnsi="仿宋" w:eastAsia="仿宋" w:cs="仿宋"/>
                <w:bCs/>
                <w:color w:val="auto"/>
                <w:szCs w:val="21"/>
                <w:highlight w:val="none"/>
                <w:lang w:val="en-US" w:eastAsia="zh-CN"/>
              </w:rPr>
              <w:t>30</w:t>
            </w:r>
            <w:r>
              <w:rPr>
                <w:rFonts w:hint="eastAsia" w:ascii="仿宋" w:hAnsi="仿宋" w:eastAsia="仿宋" w:cs="仿宋"/>
                <w:bCs/>
                <w:color w:val="auto"/>
                <w:szCs w:val="21"/>
                <w:highlight w:val="none"/>
              </w:rPr>
              <w:t>日内组织验收</w:t>
            </w:r>
          </w:p>
        </w:tc>
      </w:tr>
      <w:tr w14:paraId="670AF5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vAlign w:val="center"/>
          </w:tcPr>
          <w:p w14:paraId="0688115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A5664BB">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第4.6款</w:t>
            </w:r>
          </w:p>
        </w:tc>
        <w:tc>
          <w:tcPr>
            <w:tcW w:w="1742" w:type="dxa"/>
            <w:vAlign w:val="center"/>
          </w:tcPr>
          <w:p w14:paraId="4C56859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约定甲方承担的其他义务和责任</w:t>
            </w:r>
          </w:p>
        </w:tc>
        <w:tc>
          <w:tcPr>
            <w:tcW w:w="6239" w:type="dxa"/>
            <w:vAlign w:val="center"/>
          </w:tcPr>
          <w:p w14:paraId="72502CD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776EFC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16C3C">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8940104">
            <w:pPr>
              <w:snapToGrid w:val="0"/>
              <w:jc w:val="center"/>
              <w:rPr>
                <w:rFonts w:hint="eastAsia" w:ascii="仿宋" w:hAnsi="仿宋" w:eastAsia="仿宋" w:cs="仿宋"/>
                <w:color w:val="auto"/>
                <w:highlight w:val="none"/>
              </w:rPr>
            </w:pPr>
            <w:r>
              <w:rPr>
                <w:rFonts w:hint="eastAsia" w:ascii="仿宋" w:hAnsi="仿宋" w:eastAsia="仿宋" w:cs="仿宋"/>
                <w:color w:val="auto"/>
                <w:szCs w:val="21"/>
                <w:highlight w:val="none"/>
              </w:rPr>
              <w:t>第5.4款</w:t>
            </w:r>
          </w:p>
        </w:tc>
        <w:tc>
          <w:tcPr>
            <w:tcW w:w="1742" w:type="dxa"/>
            <w:vAlign w:val="center"/>
          </w:tcPr>
          <w:p w14:paraId="29529DA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约定乙方承担的其他义务和责任</w:t>
            </w:r>
          </w:p>
        </w:tc>
        <w:tc>
          <w:tcPr>
            <w:tcW w:w="6239" w:type="dxa"/>
            <w:vAlign w:val="center"/>
          </w:tcPr>
          <w:p w14:paraId="67BE9A4B">
            <w:pPr>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免费培训操作人员。维修响应时间</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小时，</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小时到位</w:t>
            </w:r>
          </w:p>
        </w:tc>
      </w:tr>
      <w:tr w14:paraId="2D735D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BB0B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48E6F5C6">
            <w:pPr>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第6.1款</w:t>
            </w:r>
          </w:p>
        </w:tc>
        <w:tc>
          <w:tcPr>
            <w:tcW w:w="1742" w:type="dxa"/>
            <w:vAlign w:val="center"/>
          </w:tcPr>
          <w:p w14:paraId="6983329F">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履行合同义务的顺序</w:t>
            </w:r>
          </w:p>
        </w:tc>
        <w:tc>
          <w:tcPr>
            <w:tcW w:w="6239" w:type="dxa"/>
            <w:vAlign w:val="center"/>
          </w:tcPr>
          <w:p w14:paraId="07105ED7">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甲乙双方应当同时履行合同义务。</w:t>
            </w:r>
          </w:p>
          <w:p w14:paraId="04C19E6D">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甲乙双方按照合同约定顺序履行合同义务时，应当先履行一方未履行的，后履行一方有权拒绝其履行请求。先履行一方履行不符合约定的，后履行一方有权拒绝其相应的履行请求。</w:t>
            </w:r>
          </w:p>
        </w:tc>
      </w:tr>
      <w:tr w14:paraId="692986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B5747A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501C7CCA">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第7.1款</w:t>
            </w:r>
          </w:p>
        </w:tc>
        <w:tc>
          <w:tcPr>
            <w:tcW w:w="1742" w:type="dxa"/>
            <w:vAlign w:val="center"/>
          </w:tcPr>
          <w:p w14:paraId="1086668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包装特殊要求</w:t>
            </w:r>
          </w:p>
        </w:tc>
        <w:tc>
          <w:tcPr>
            <w:tcW w:w="6239" w:type="dxa"/>
            <w:vAlign w:val="center"/>
          </w:tcPr>
          <w:p w14:paraId="70648C2A">
            <w:pPr>
              <w:rPr>
                <w:rFonts w:hint="eastAsia" w:ascii="仿宋" w:hAnsi="仿宋" w:eastAsia="仿宋" w:cs="仿宋"/>
                <w:color w:val="auto"/>
                <w:highlight w:val="none"/>
              </w:rPr>
            </w:pPr>
            <w:r>
              <w:rPr>
                <w:rFonts w:hint="eastAsia" w:ascii="仿宋" w:hAnsi="仿宋" w:eastAsia="仿宋" w:cs="仿宋"/>
                <w:color w:val="auto"/>
                <w:highlight w:val="none"/>
              </w:rPr>
              <w:t>（1）符合出厂规范、包装完整无破损、满足长途运输要求。</w:t>
            </w:r>
          </w:p>
          <w:p w14:paraId="37679AFF">
            <w:pPr>
              <w:rPr>
                <w:rFonts w:hint="eastAsia" w:ascii="仿宋" w:hAnsi="仿宋" w:eastAsia="仿宋" w:cs="仿宋"/>
                <w:color w:val="auto"/>
                <w:highlight w:val="none"/>
              </w:rPr>
            </w:pPr>
            <w:r>
              <w:rPr>
                <w:rFonts w:hint="eastAsia" w:ascii="仿宋" w:hAnsi="仿宋" w:eastAsia="仿宋" w:cs="仿宋"/>
                <w:color w:val="auto"/>
                <w:highlight w:val="none"/>
              </w:rPr>
              <w:t>（2）防雨、防潮、各种符号、标识清楚。</w:t>
            </w:r>
          </w:p>
          <w:p w14:paraId="1518CD21">
            <w:pPr>
              <w:rPr>
                <w:rFonts w:hint="eastAsia" w:ascii="仿宋" w:hAnsi="仿宋" w:eastAsia="仿宋" w:cs="仿宋"/>
                <w:color w:val="auto"/>
                <w:highlight w:val="none"/>
              </w:rPr>
            </w:pPr>
            <w:r>
              <w:rPr>
                <w:rFonts w:hint="eastAsia" w:ascii="仿宋" w:hAnsi="仿宋" w:eastAsia="仿宋" w:cs="仿宋"/>
                <w:color w:val="auto"/>
                <w:highlight w:val="none"/>
              </w:rPr>
              <w:t>（3）必须为原装、全新产品，渠道合法。</w:t>
            </w:r>
          </w:p>
        </w:tc>
      </w:tr>
      <w:tr w14:paraId="63EF1B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9C2A432">
            <w:pPr>
              <w:adjustRightInd w:val="0"/>
              <w:snapToGrid w:val="0"/>
              <w:jc w:val="center"/>
              <w:rPr>
                <w:rFonts w:hint="eastAsia" w:ascii="仿宋" w:hAnsi="仿宋" w:eastAsia="仿宋" w:cs="仿宋"/>
                <w:color w:val="auto"/>
                <w:szCs w:val="21"/>
                <w:highlight w:val="none"/>
              </w:rPr>
            </w:pPr>
          </w:p>
        </w:tc>
        <w:tc>
          <w:tcPr>
            <w:tcW w:w="1742" w:type="dxa"/>
            <w:vAlign w:val="center"/>
          </w:tcPr>
          <w:p w14:paraId="75EDF0FE">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指定现场</w:t>
            </w:r>
          </w:p>
        </w:tc>
        <w:tc>
          <w:tcPr>
            <w:tcW w:w="6239" w:type="dxa"/>
            <w:vAlign w:val="center"/>
          </w:tcPr>
          <w:p w14:paraId="5BF98055">
            <w:pPr>
              <w:rPr>
                <w:rFonts w:hint="eastAsia" w:ascii="仿宋" w:hAnsi="仿宋" w:eastAsia="仿宋" w:cs="仿宋"/>
                <w:color w:val="auto"/>
                <w:highlight w:val="none"/>
              </w:rPr>
            </w:pPr>
            <w:r>
              <w:rPr>
                <w:rFonts w:hint="eastAsia" w:ascii="仿宋" w:hAnsi="仿宋" w:eastAsia="仿宋" w:cs="仿宋"/>
                <w:color w:val="auto"/>
                <w:highlight w:val="none"/>
              </w:rPr>
              <w:t>甲方指定地点</w:t>
            </w:r>
          </w:p>
        </w:tc>
      </w:tr>
      <w:tr w14:paraId="721667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1DAAD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3E20EA8D">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第7.2款</w:t>
            </w:r>
          </w:p>
        </w:tc>
        <w:tc>
          <w:tcPr>
            <w:tcW w:w="1742" w:type="dxa"/>
            <w:vAlign w:val="center"/>
          </w:tcPr>
          <w:p w14:paraId="2B79A7D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运输特殊要求</w:t>
            </w:r>
          </w:p>
        </w:tc>
        <w:tc>
          <w:tcPr>
            <w:tcW w:w="6239" w:type="dxa"/>
            <w:vAlign w:val="center"/>
          </w:tcPr>
          <w:p w14:paraId="78EB9065">
            <w:pPr>
              <w:rPr>
                <w:rFonts w:hint="eastAsia" w:ascii="仿宋" w:hAnsi="仿宋" w:eastAsia="仿宋" w:cs="仿宋"/>
                <w:color w:val="auto"/>
                <w:highlight w:val="none"/>
              </w:rPr>
            </w:pPr>
            <w:r>
              <w:rPr>
                <w:rFonts w:hint="eastAsia" w:ascii="仿宋" w:hAnsi="仿宋" w:eastAsia="仿宋" w:cs="仿宋"/>
                <w:color w:val="auto"/>
                <w:szCs w:val="21"/>
                <w:highlight w:val="none"/>
              </w:rPr>
              <w:t>无</w:t>
            </w:r>
          </w:p>
        </w:tc>
      </w:tr>
      <w:tr w14:paraId="27CB4A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EF1C4C5">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4F297DC">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第7.3款</w:t>
            </w:r>
          </w:p>
        </w:tc>
        <w:tc>
          <w:tcPr>
            <w:tcW w:w="1742" w:type="dxa"/>
            <w:vAlign w:val="center"/>
          </w:tcPr>
          <w:p w14:paraId="43A4D9B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保险要求</w:t>
            </w:r>
          </w:p>
        </w:tc>
        <w:tc>
          <w:tcPr>
            <w:tcW w:w="6239" w:type="dxa"/>
            <w:vAlign w:val="center"/>
          </w:tcPr>
          <w:p w14:paraId="0CC195C7">
            <w:pPr>
              <w:adjustRightInd w:val="0"/>
              <w:snapToGrid w:val="0"/>
              <w:spacing w:line="400" w:lineRule="exact"/>
              <w:jc w:val="left"/>
              <w:rPr>
                <w:rFonts w:hint="eastAsia" w:ascii="仿宋" w:hAnsi="仿宋" w:eastAsia="仿宋" w:cs="仿宋"/>
                <w:color w:val="auto"/>
                <w:highlight w:val="none"/>
              </w:rPr>
            </w:pPr>
            <w:r>
              <w:rPr>
                <w:rFonts w:hint="eastAsia" w:ascii="仿宋" w:hAnsi="仿宋" w:eastAsia="仿宋" w:cs="仿宋"/>
                <w:color w:val="auto"/>
                <w:szCs w:val="21"/>
                <w:highlight w:val="none"/>
              </w:rPr>
              <w:t>无。</w:t>
            </w:r>
          </w:p>
        </w:tc>
      </w:tr>
      <w:tr w14:paraId="0D6D28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5F93C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14FC6D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第8.2（1）项</w:t>
            </w:r>
          </w:p>
        </w:tc>
        <w:tc>
          <w:tcPr>
            <w:tcW w:w="1742" w:type="dxa"/>
            <w:vAlign w:val="center"/>
          </w:tcPr>
          <w:p w14:paraId="6B55858F">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质量保证期</w:t>
            </w:r>
          </w:p>
        </w:tc>
        <w:tc>
          <w:tcPr>
            <w:tcW w:w="6239" w:type="dxa"/>
            <w:vAlign w:val="center"/>
          </w:tcPr>
          <w:p w14:paraId="69CC395B">
            <w:pPr>
              <w:autoSpaceDE w:val="0"/>
              <w:autoSpaceDN w:val="0"/>
              <w:adjustRightInd w:val="0"/>
              <w:snapToGrid w:val="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设备验收合格后免费保修≥3年，保修期满后</w:t>
            </w:r>
            <w:r>
              <w:rPr>
                <w:rFonts w:hint="eastAsia" w:ascii="仿宋" w:hAnsi="仿宋" w:eastAsia="仿宋" w:cs="仿宋"/>
                <w:color w:val="auto"/>
                <w:szCs w:val="21"/>
                <w:highlight w:val="none"/>
                <w:lang w:eastAsia="zh-CN"/>
              </w:rPr>
              <w:t>负责</w:t>
            </w:r>
            <w:r>
              <w:rPr>
                <w:rFonts w:hint="eastAsia" w:ascii="仿宋" w:hAnsi="仿宋" w:eastAsia="仿宋" w:cs="仿宋"/>
                <w:color w:val="auto"/>
                <w:szCs w:val="21"/>
                <w:highlight w:val="none"/>
              </w:rPr>
              <w:t>维修，只收取材料成本费并保证零配件供应≥5年</w:t>
            </w:r>
            <w:r>
              <w:rPr>
                <w:rFonts w:hint="eastAsia" w:ascii="仿宋" w:hAnsi="仿宋" w:eastAsia="仿宋" w:cs="仿宋"/>
                <w:color w:val="auto"/>
                <w:szCs w:val="21"/>
                <w:highlight w:val="none"/>
                <w:lang w:eastAsia="zh-CN"/>
              </w:rPr>
              <w:t>。</w:t>
            </w:r>
          </w:p>
        </w:tc>
      </w:tr>
      <w:tr w14:paraId="2B0425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E5E14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0184352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第8.2（3）项</w:t>
            </w:r>
          </w:p>
        </w:tc>
        <w:tc>
          <w:tcPr>
            <w:tcW w:w="1742" w:type="dxa"/>
            <w:vAlign w:val="center"/>
          </w:tcPr>
          <w:p w14:paraId="471ABCF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货物质量缺陷</w:t>
            </w:r>
          </w:p>
          <w:p w14:paraId="05D1A6B5">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响应时间</w:t>
            </w:r>
          </w:p>
        </w:tc>
        <w:tc>
          <w:tcPr>
            <w:tcW w:w="6239" w:type="dxa"/>
            <w:vAlign w:val="center"/>
          </w:tcPr>
          <w:p w14:paraId="706832FD">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t>响应时间</w:t>
            </w:r>
            <w:r>
              <w:rPr>
                <w:rFonts w:hint="eastAsia" w:ascii="仿宋" w:hAnsi="仿宋" w:eastAsia="仿宋" w:cs="仿宋"/>
                <w:color w:val="auto"/>
                <w:szCs w:val="21"/>
                <w:highlight w:val="none"/>
              </w:rPr>
              <w:t>为</w:t>
            </w:r>
            <w:r>
              <w:rPr>
                <w:rFonts w:hint="eastAsia" w:ascii="仿宋" w:hAnsi="仿宋" w:eastAsia="仿宋" w:cs="仿宋"/>
                <w:color w:val="auto"/>
                <w:szCs w:val="21"/>
                <w:highlight w:val="none"/>
                <w:lang w:val="zh-CN"/>
              </w:rPr>
              <w:t>7×24小时</w:t>
            </w:r>
          </w:p>
        </w:tc>
      </w:tr>
      <w:tr w14:paraId="63A0D6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75F22C">
            <w:pPr>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6AFD4BA3">
            <w:pPr>
              <w:pStyle w:val="11"/>
              <w:ind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第11.1款</w:t>
            </w:r>
          </w:p>
        </w:tc>
        <w:tc>
          <w:tcPr>
            <w:tcW w:w="1742" w:type="dxa"/>
            <w:vAlign w:val="center"/>
          </w:tcPr>
          <w:p w14:paraId="413FC6F5">
            <w:pPr>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其他应当保密的信息</w:t>
            </w:r>
          </w:p>
        </w:tc>
        <w:tc>
          <w:tcPr>
            <w:tcW w:w="6239" w:type="dxa"/>
            <w:vAlign w:val="center"/>
          </w:tcPr>
          <w:p w14:paraId="5B900E69">
            <w:pPr>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乙方须对甲方的相关数据、文件等信息严格保密，保证不向任何第三方及无关人员泄露甲方的任何信息，保密期限为永久。</w:t>
            </w:r>
          </w:p>
        </w:tc>
      </w:tr>
      <w:tr w14:paraId="0AEC57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ECB5BAB">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587F2A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第12.2款</w:t>
            </w:r>
          </w:p>
        </w:tc>
        <w:tc>
          <w:tcPr>
            <w:tcW w:w="1742" w:type="dxa"/>
            <w:vAlign w:val="center"/>
          </w:tcPr>
          <w:p w14:paraId="01CAD7FB">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合同价款支付时间</w:t>
            </w:r>
          </w:p>
        </w:tc>
        <w:tc>
          <w:tcPr>
            <w:tcW w:w="6239" w:type="dxa"/>
            <w:vAlign w:val="center"/>
          </w:tcPr>
          <w:p w14:paraId="240205E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达到付款条件起</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日内</w:t>
            </w:r>
          </w:p>
        </w:tc>
      </w:tr>
      <w:tr w14:paraId="5D5F5C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FFE670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6CCE72F5">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第13.2款</w:t>
            </w:r>
          </w:p>
        </w:tc>
        <w:tc>
          <w:tcPr>
            <w:tcW w:w="1742" w:type="dxa"/>
            <w:vAlign w:val="center"/>
          </w:tcPr>
          <w:p w14:paraId="0F0F7F0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履约保证金不予退还的情形</w:t>
            </w:r>
          </w:p>
        </w:tc>
        <w:tc>
          <w:tcPr>
            <w:tcW w:w="6239" w:type="dxa"/>
            <w:vAlign w:val="center"/>
          </w:tcPr>
          <w:p w14:paraId="22F31F3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52C91C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2F671E">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C85283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第13.3款</w:t>
            </w:r>
          </w:p>
        </w:tc>
        <w:tc>
          <w:tcPr>
            <w:tcW w:w="1742" w:type="dxa"/>
            <w:vAlign w:val="center"/>
          </w:tcPr>
          <w:p w14:paraId="67429B2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履约保证金退还时间及逾期退还的违约金</w:t>
            </w:r>
          </w:p>
        </w:tc>
        <w:tc>
          <w:tcPr>
            <w:tcW w:w="6239" w:type="dxa"/>
            <w:vAlign w:val="center"/>
          </w:tcPr>
          <w:p w14:paraId="65B66297">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5576B5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AE8C0E8">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4FDBA48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第14.1（3）项</w:t>
            </w:r>
          </w:p>
        </w:tc>
        <w:tc>
          <w:tcPr>
            <w:tcW w:w="1742" w:type="dxa"/>
            <w:vAlign w:val="center"/>
          </w:tcPr>
          <w:p w14:paraId="758255E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运行监督、维修期限</w:t>
            </w:r>
          </w:p>
        </w:tc>
        <w:tc>
          <w:tcPr>
            <w:tcW w:w="6239" w:type="dxa"/>
            <w:vAlign w:val="center"/>
          </w:tcPr>
          <w:p w14:paraId="7FDB2B89">
            <w:pPr>
              <w:autoSpaceDE w:val="0"/>
              <w:autoSpaceDN w:val="0"/>
              <w:adjustRightInd w:val="0"/>
              <w:snapToGrid w:val="0"/>
              <w:spacing w:line="40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Cs w:val="21"/>
                <w:highlight w:val="none"/>
              </w:rPr>
              <w:t>保修期满后免费维修，只收取材料成本费并保证零配件供应5年。</w:t>
            </w:r>
          </w:p>
        </w:tc>
      </w:tr>
      <w:tr w14:paraId="5D7FDB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85C5AB0">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612E462E">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第14.1（5）项</w:t>
            </w:r>
          </w:p>
        </w:tc>
        <w:tc>
          <w:tcPr>
            <w:tcW w:w="1742" w:type="dxa"/>
            <w:vAlign w:val="center"/>
          </w:tcPr>
          <w:p w14:paraId="51D0B611">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货物回收的约定</w:t>
            </w:r>
          </w:p>
        </w:tc>
        <w:tc>
          <w:tcPr>
            <w:tcW w:w="6239" w:type="dxa"/>
            <w:vAlign w:val="center"/>
          </w:tcPr>
          <w:p w14:paraId="6E66577B">
            <w:pPr>
              <w:pStyle w:val="11"/>
              <w:ind w:firstLine="0" w:firstLineChars="0"/>
              <w:rPr>
                <w:rFonts w:hint="eastAsia" w:ascii="仿宋" w:hAnsi="仿宋" w:eastAsia="仿宋" w:cs="仿宋"/>
                <w:color w:val="auto"/>
                <w:highlight w:val="none"/>
              </w:rPr>
            </w:pPr>
            <w:r>
              <w:rPr>
                <w:rFonts w:hint="eastAsia" w:ascii="仿宋" w:hAnsi="仿宋" w:eastAsia="仿宋" w:cs="仿宋"/>
                <w:color w:val="auto"/>
                <w:sz w:val="21"/>
                <w:highlight w:val="none"/>
              </w:rPr>
              <w:t>无</w:t>
            </w:r>
          </w:p>
        </w:tc>
      </w:tr>
      <w:tr w14:paraId="7EC62D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40C4C4">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745621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第14.1（6）项</w:t>
            </w:r>
          </w:p>
        </w:tc>
        <w:tc>
          <w:tcPr>
            <w:tcW w:w="1742" w:type="dxa"/>
            <w:vAlign w:val="center"/>
          </w:tcPr>
          <w:p w14:paraId="2A4979BB">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乙方提供的其他服务</w:t>
            </w:r>
          </w:p>
        </w:tc>
        <w:tc>
          <w:tcPr>
            <w:tcW w:w="6239" w:type="dxa"/>
            <w:vAlign w:val="center"/>
          </w:tcPr>
          <w:p w14:paraId="5658678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 w:val="21"/>
                <w:highlight w:val="none"/>
              </w:rPr>
              <w:t>无</w:t>
            </w:r>
          </w:p>
        </w:tc>
      </w:tr>
      <w:tr w14:paraId="6EEF3D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713278">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4CD449DB">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第15.1款</w:t>
            </w:r>
          </w:p>
        </w:tc>
        <w:tc>
          <w:tcPr>
            <w:tcW w:w="1742" w:type="dxa"/>
            <w:vAlign w:val="center"/>
          </w:tcPr>
          <w:p w14:paraId="3A9871C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修理、重作、更换相关具体规定</w:t>
            </w:r>
          </w:p>
        </w:tc>
        <w:tc>
          <w:tcPr>
            <w:tcW w:w="6239" w:type="dxa"/>
            <w:vAlign w:val="center"/>
          </w:tcPr>
          <w:p w14:paraId="5B0CCFF4">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05E7DF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2BD260">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F7E4C8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第15.2（2）项</w:t>
            </w:r>
          </w:p>
        </w:tc>
        <w:tc>
          <w:tcPr>
            <w:tcW w:w="1742" w:type="dxa"/>
            <w:vAlign w:val="center"/>
          </w:tcPr>
          <w:p w14:paraId="567BA139">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迟延交货赔偿费</w:t>
            </w:r>
          </w:p>
        </w:tc>
        <w:tc>
          <w:tcPr>
            <w:tcW w:w="6239" w:type="dxa"/>
            <w:vAlign w:val="center"/>
          </w:tcPr>
          <w:p w14:paraId="39CF34E7">
            <w:pPr>
              <w:tabs>
                <w:tab w:val="left" w:pos="48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1.乙方未按合同约定的交货日期交货的，每逾期一日，向甲方支付逾期交付货物价款的1%的违约金，但不超过合同总金额的10%。</w:t>
            </w:r>
          </w:p>
          <w:p w14:paraId="75001495">
            <w:pPr>
              <w:tabs>
                <w:tab w:val="left" w:pos="48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2.乙方支付逾期交货违约金并不免除其交货的责任。如乙方在合同规定的交货日期后10天内仍未能交货，则视为乙方不能交货，甲方有权解除合同，乙方除退还已收取的货款外，还应向甲方偿付合同总金额</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0%的违约金。</w:t>
            </w:r>
          </w:p>
        </w:tc>
      </w:tr>
      <w:tr w14:paraId="0A04D8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AFEF15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B99EE3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第15.3款</w:t>
            </w:r>
          </w:p>
        </w:tc>
        <w:tc>
          <w:tcPr>
            <w:tcW w:w="1742" w:type="dxa"/>
            <w:vAlign w:val="center"/>
          </w:tcPr>
          <w:p w14:paraId="545A63A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逾期付款利息</w:t>
            </w:r>
          </w:p>
        </w:tc>
        <w:tc>
          <w:tcPr>
            <w:tcW w:w="6239" w:type="dxa"/>
            <w:vAlign w:val="center"/>
          </w:tcPr>
          <w:p w14:paraId="4388A2C0">
            <w:pPr>
              <w:adjustRightInd w:val="0"/>
              <w:snapToGrid w:val="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无</w:t>
            </w:r>
          </w:p>
        </w:tc>
      </w:tr>
      <w:tr w14:paraId="317140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538E8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3EA38B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第15.4款</w:t>
            </w:r>
          </w:p>
        </w:tc>
        <w:tc>
          <w:tcPr>
            <w:tcW w:w="1742" w:type="dxa"/>
            <w:tcBorders>
              <w:left w:val="single" w:color="auto" w:sz="2" w:space="0"/>
              <w:bottom w:val="single" w:color="auto" w:sz="2" w:space="0"/>
              <w:right w:val="single" w:color="auto" w:sz="2" w:space="0"/>
            </w:tcBorders>
            <w:vAlign w:val="center"/>
          </w:tcPr>
          <w:p w14:paraId="6834726B">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其他违约责任</w:t>
            </w:r>
          </w:p>
        </w:tc>
        <w:tc>
          <w:tcPr>
            <w:tcW w:w="6239" w:type="dxa"/>
            <w:tcBorders>
              <w:left w:val="single" w:color="auto" w:sz="2" w:space="0"/>
              <w:bottom w:val="single" w:color="auto" w:sz="2" w:space="0"/>
            </w:tcBorders>
            <w:vAlign w:val="center"/>
          </w:tcPr>
          <w:p w14:paraId="6E98122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1.按《中华人民共和国民法典》中的相关条款执行。</w:t>
            </w:r>
          </w:p>
          <w:p w14:paraId="2C72FD9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2.未按合同要求</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包括合同中提到的乙方应实现、承担的所有内容</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的提供服务或质量不能满足技术要求，甲方有权终止合同，甚至对乙方违约行为进行追究。</w:t>
            </w:r>
          </w:p>
        </w:tc>
      </w:tr>
      <w:tr w14:paraId="3A6727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07D437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BE7645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第19.2款</w:t>
            </w:r>
          </w:p>
        </w:tc>
        <w:tc>
          <w:tcPr>
            <w:tcW w:w="1742" w:type="dxa"/>
            <w:tcBorders>
              <w:top w:val="single" w:color="auto" w:sz="2" w:space="0"/>
              <w:left w:val="single" w:color="auto" w:sz="2" w:space="0"/>
              <w:right w:val="single" w:color="auto" w:sz="2" w:space="0"/>
            </w:tcBorders>
            <w:vAlign w:val="center"/>
          </w:tcPr>
          <w:p w14:paraId="72CD0B01">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解决争议的方法</w:t>
            </w:r>
          </w:p>
        </w:tc>
        <w:tc>
          <w:tcPr>
            <w:tcW w:w="6239" w:type="dxa"/>
            <w:tcBorders>
              <w:top w:val="single" w:color="auto" w:sz="2" w:space="0"/>
              <w:left w:val="single" w:color="auto" w:sz="2" w:space="0"/>
            </w:tcBorders>
            <w:vAlign w:val="center"/>
          </w:tcPr>
          <w:p w14:paraId="3507C361">
            <w:pPr>
              <w:autoSpaceDE w:val="0"/>
              <w:autoSpaceDN w:val="0"/>
              <w:adjustRightInd w:val="0"/>
              <w:snapToGrid w:val="0"/>
              <w:spacing w:line="400" w:lineRule="exact"/>
              <w:jc w:val="lef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因本合同及合同有关事项发生的争议，按下列第</w:t>
            </w:r>
            <w:r>
              <w:rPr>
                <w:rFonts w:hint="eastAsia" w:ascii="仿宋" w:hAnsi="仿宋" w:eastAsia="仿宋" w:cs="仿宋"/>
                <w:iCs/>
                <w:color w:val="auto"/>
                <w:szCs w:val="21"/>
                <w:highlight w:val="none"/>
                <w:u w:val="single"/>
              </w:rPr>
              <w:t xml:space="preserve"> 2 </w:t>
            </w:r>
            <w:r>
              <w:rPr>
                <w:rFonts w:hint="eastAsia" w:ascii="仿宋" w:hAnsi="仿宋" w:eastAsia="仿宋" w:cs="仿宋"/>
                <w:iCs/>
                <w:color w:val="auto"/>
                <w:szCs w:val="21"/>
                <w:highlight w:val="none"/>
              </w:rPr>
              <w:t>种方式解决：</w:t>
            </w:r>
          </w:p>
          <w:p w14:paraId="09C8AA25">
            <w:pPr>
              <w:autoSpaceDE w:val="0"/>
              <w:autoSpaceDN w:val="0"/>
              <w:adjustRightInd w:val="0"/>
              <w:snapToGrid w:val="0"/>
              <w:spacing w:line="400" w:lineRule="exact"/>
              <w:jc w:val="lef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（1）向</w:t>
            </w:r>
            <w:r>
              <w:rPr>
                <w:rFonts w:hint="eastAsia" w:ascii="仿宋" w:hAnsi="仿宋" w:eastAsia="仿宋" w:cs="仿宋"/>
                <w:iCs/>
                <w:color w:val="auto"/>
                <w:szCs w:val="21"/>
                <w:highlight w:val="none"/>
                <w:u w:val="single"/>
              </w:rPr>
              <w:t xml:space="preserve">                    </w:t>
            </w:r>
            <w:r>
              <w:rPr>
                <w:rFonts w:hint="eastAsia" w:ascii="仿宋" w:hAnsi="仿宋" w:eastAsia="仿宋" w:cs="仿宋"/>
                <w:iCs/>
                <w:color w:val="auto"/>
                <w:szCs w:val="21"/>
                <w:highlight w:val="none"/>
              </w:rPr>
              <w:t>仲裁委员会申请仲裁，仲裁地点为</w:t>
            </w:r>
            <w:r>
              <w:rPr>
                <w:rFonts w:hint="eastAsia" w:ascii="仿宋" w:hAnsi="仿宋" w:eastAsia="仿宋" w:cs="仿宋"/>
                <w:iCs/>
                <w:color w:val="auto"/>
                <w:szCs w:val="21"/>
                <w:highlight w:val="none"/>
                <w:u w:val="single"/>
              </w:rPr>
              <w:t xml:space="preserve">           </w:t>
            </w:r>
            <w:r>
              <w:rPr>
                <w:rFonts w:hint="eastAsia" w:ascii="仿宋" w:hAnsi="仿宋" w:eastAsia="仿宋" w:cs="仿宋"/>
                <w:iCs/>
                <w:color w:val="auto"/>
                <w:szCs w:val="21"/>
                <w:highlight w:val="none"/>
              </w:rPr>
              <w:t>；</w:t>
            </w:r>
          </w:p>
          <w:p w14:paraId="652C70FD">
            <w:pPr>
              <w:adjustRightInd w:val="0"/>
              <w:snapToGrid w:val="0"/>
              <w:jc w:val="left"/>
              <w:rPr>
                <w:rFonts w:hint="eastAsia" w:ascii="仿宋" w:hAnsi="仿宋" w:eastAsia="仿宋" w:cs="仿宋"/>
                <w:color w:val="auto"/>
                <w:szCs w:val="21"/>
                <w:highlight w:val="none"/>
                <w:u w:val="single"/>
              </w:rPr>
            </w:pPr>
            <w:r>
              <w:rPr>
                <w:rFonts w:hint="eastAsia" w:ascii="仿宋" w:hAnsi="仿宋" w:eastAsia="仿宋" w:cs="仿宋"/>
                <w:iCs/>
                <w:color w:val="auto"/>
                <w:szCs w:val="21"/>
                <w:highlight w:val="none"/>
              </w:rPr>
              <w:t>（2）向</w:t>
            </w:r>
            <w:r>
              <w:rPr>
                <w:rFonts w:hint="eastAsia" w:ascii="仿宋" w:hAnsi="仿宋" w:eastAsia="仿宋" w:cs="仿宋"/>
                <w:iCs/>
                <w:color w:val="auto"/>
                <w:szCs w:val="21"/>
                <w:highlight w:val="none"/>
                <w:u w:val="single"/>
              </w:rPr>
              <w:t xml:space="preserve">      甲方所在地       </w:t>
            </w:r>
            <w:r>
              <w:rPr>
                <w:rFonts w:hint="eastAsia" w:ascii="仿宋" w:hAnsi="仿宋" w:eastAsia="仿宋" w:cs="仿宋"/>
                <w:iCs/>
                <w:color w:val="auto"/>
                <w:szCs w:val="21"/>
                <w:highlight w:val="none"/>
              </w:rPr>
              <w:t>人民法院起诉。</w:t>
            </w:r>
          </w:p>
        </w:tc>
      </w:tr>
      <w:tr w14:paraId="35EB0A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DC85FBF">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D20C70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第23.1款</w:t>
            </w:r>
          </w:p>
        </w:tc>
        <w:tc>
          <w:tcPr>
            <w:tcW w:w="1742" w:type="dxa"/>
            <w:vAlign w:val="center"/>
          </w:tcPr>
          <w:p w14:paraId="127833D0">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其他专用条款</w:t>
            </w:r>
          </w:p>
        </w:tc>
        <w:tc>
          <w:tcPr>
            <w:tcW w:w="6239" w:type="dxa"/>
            <w:vAlign w:val="center"/>
          </w:tcPr>
          <w:p w14:paraId="704AF793">
            <w:pPr>
              <w:adjustRightInd w:val="0"/>
              <w:snapToGrid w:val="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设备须为到货之日前9个月内生产的产品</w:t>
            </w:r>
            <w:r>
              <w:rPr>
                <w:rFonts w:hint="eastAsia" w:ascii="仿宋" w:hAnsi="仿宋" w:eastAsia="仿宋" w:cs="仿宋"/>
                <w:color w:val="auto"/>
                <w:szCs w:val="21"/>
                <w:highlight w:val="none"/>
                <w:lang w:eastAsia="zh-CN"/>
              </w:rPr>
              <w:t>。</w:t>
            </w:r>
          </w:p>
        </w:tc>
      </w:tr>
    </w:tbl>
    <w:p w14:paraId="6A952C5D">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9736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C6822">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4C6822">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ED00BE0B"/>
    <w:multiLevelType w:val="singleLevel"/>
    <w:tmpl w:val="ED00BE0B"/>
    <w:lvl w:ilvl="0" w:tentative="0">
      <w:start w:val="4"/>
      <w:numFmt w:val="decimal"/>
      <w:suff w:val="nothing"/>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6"/>
  </w:num>
  <w:num w:numId="4">
    <w:abstractNumId w:val="5"/>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756642"/>
    <w:rsid w:val="07756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ody Text Indent"/>
    <w:basedOn w:val="1"/>
    <w:next w:val="5"/>
    <w:qFormat/>
    <w:uiPriority w:val="0"/>
    <w:pPr>
      <w:spacing w:after="120"/>
      <w:ind w:left="420" w:leftChars="200"/>
    </w:pPr>
  </w:style>
  <w:style w:type="paragraph" w:styleId="5">
    <w:name w:val="envelope return"/>
    <w:basedOn w:val="1"/>
    <w:unhideWhenUsed/>
    <w:qFormat/>
    <w:uiPriority w:val="0"/>
    <w:pPr>
      <w:snapToGrid w:val="0"/>
    </w:pPr>
    <w:rPr>
      <w:rFonts w:ascii="Arial" w:hAnsi="Arial"/>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2026-04-01T07:56:00Z</dcterms:created>
  <dc:creator>1</dc:creator>
  <cp:lastModifiedBy>1</cp:lastModifiedBy>
  <dcterms:modified xsi:type="dcterms:W3CDTF">2026-04-01T07:56:56Z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AD1A967E10734242B4C8670163503BC3_11</vt:lpwstr>
  </property>
  <property fmtid="{D5CDD505-2E9C-101B-9397-08002B2CF9AE}" pid="4" name="KSOTemplateDocerSaveRecord">
    <vt:lpwstr>eyJoZGlkIjoiYWRjNjA3YjNkZTkyNDk4OTI5YWU2YmU2MzVkMmI4MTAiLCJ1c2VySWQiOiI0ODU3MDc4MjgifQ==</vt:lpwstr>
  </property>
</Properties>
</file>