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版本号：JXZB2026-03-2020260410001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2026年“卓越质量三秦行”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JXZB2026-03-20</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2026年“卓越质量三秦行”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JXZB2026-03-20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2026年“卓越质量三秦行”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贯彻落实中共中央国务院《质量强国建设纲要》及《陕西省关于贯彻落实&lt;质量强国建设纲要&gt;的实施意见》的有关要求，增强我省企业质量和品牌发展能力，完善品牌培育发展机制，建立品牌培育管理体系，树立卓越绩效质量理念，传播先进质量管理方法，促进质量标杆示范引领作用，开展2026年卓越质量三秦行活动，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经会计师事务所审计的2024年度财务审计报告，或在开标日期前六个月内其基本开户银行出具的资信证明及基本存款账户开户许可证（基本账户信息）或财政部门认可的政府采购专业担保机构出具的投标担保函；</w:t>
      </w:r>
    </w:p>
    <w:p>
      <w:pPr>
        <w:pStyle w:val="null3"/>
      </w:pPr>
      <w:r>
        <w:rPr>
          <w:rFonts w:ascii="仿宋_GB2312" w:hAnsi="仿宋_GB2312" w:cs="仿宋_GB2312" w:eastAsia="仿宋_GB2312"/>
        </w:rPr>
        <w:t>3、税收缴纳证明：供应商提供2025年09月至今已缴存的至少1个月的依法缴纳税收的相关凭据。依法免税或无须缴纳税收的供应商，应提供相应证明文件；</w:t>
      </w:r>
    </w:p>
    <w:p>
      <w:pPr>
        <w:pStyle w:val="null3"/>
      </w:pPr>
      <w:r>
        <w:rPr>
          <w:rFonts w:ascii="仿宋_GB2312" w:hAnsi="仿宋_GB2312" w:cs="仿宋_GB2312" w:eastAsia="仿宋_GB2312"/>
        </w:rPr>
        <w:t>4、社会保障资金缴纳证明：供应商提供2025年09月至今已缴存的至少1个月的社会保障资金缴存单据或社保机构开具的社会保险参保缴费情况证明。依法不需要缴纳社会保障资金的供应商应提供相关证明文件；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5、设备和专业技术能力的声明：：提供具有履行本合同所必需的设备和专业技术能力的声明；</w:t>
      </w:r>
    </w:p>
    <w:p>
      <w:pPr>
        <w:pStyle w:val="null3"/>
      </w:pPr>
      <w:r>
        <w:rPr>
          <w:rFonts w:ascii="仿宋_GB2312" w:hAnsi="仿宋_GB2312" w:cs="仿宋_GB2312" w:eastAsia="仿宋_GB2312"/>
        </w:rPr>
        <w:t>6、无重大违法记录的书面声明：参加政府采购活动前三年内，在经营活动中没有重大违法记录的书面声明；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7、法定代表人授权书：法定代表人授权委托书：法定代表人参加投标的，须出示身份证复印件；法定代表人授权他人参加投标的，须提供法定代表人授权委托书及被授权人身份证复印件；</w:t>
      </w:r>
    </w:p>
    <w:p>
      <w:pPr>
        <w:pStyle w:val="null3"/>
      </w:pPr>
      <w:r>
        <w:rPr>
          <w:rFonts w:ascii="仿宋_GB2312" w:hAnsi="仿宋_GB2312" w:cs="仿宋_GB2312" w:eastAsia="仿宋_GB2312"/>
        </w:rPr>
        <w:t>8、信用信息：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9、控股管理关系：本项目不接受联合体磋商，单位负责人为同一人或者存在直接控股、管理关系的不同供应商，不得参加同一合同项下的政府采购活动。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雷芳娟、雷春龙，龙素菊，牛立华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开户名称：建信众诚工程咨询有限公司</w:t>
            </w:r>
          </w:p>
          <w:p>
            <w:pPr>
              <w:pStyle w:val="null3"/>
            </w:pPr>
            <w:r>
              <w:rPr>
                <w:rFonts w:ascii="仿宋_GB2312" w:hAnsi="仿宋_GB2312" w:cs="仿宋_GB2312" w:eastAsia="仿宋_GB2312"/>
              </w:rPr>
              <w:t>开户银行：西安银行股份有限公司东二环南段支行</w:t>
            </w:r>
          </w:p>
          <w:p>
            <w:pPr>
              <w:pStyle w:val="null3"/>
            </w:pPr>
            <w:r>
              <w:rPr>
                <w:rFonts w:ascii="仿宋_GB2312" w:hAnsi="仿宋_GB2312" w:cs="仿宋_GB2312" w:eastAsia="仿宋_GB2312"/>
              </w:rPr>
              <w:t>银行账号：209011580000085788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参照国家计委关于印发《招标代理服务收费管理暂行办法》的通知（计价格[2002]1980号）和发改办价格[2003]857号规定（不足伍仟元的按伍仟元计取），由中标人在领取中标通知书时向代理机构缴纳代理服务费。招标代理服务费采用现金、电汇或银行转账方式交纳，不得采用投标保证金抵扣。 服务费交纳账户：开户行：西安银行股份有限公司东二环南段支行；开户名称：建信众诚工程咨询有限公司；账号：209011580000085788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联系人：雷芳娟、雷春龙，龙素菊，牛立华</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地址：陕西省西安市雁塔区南二环西段208号捷瑞智能大厦东区9楼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中共中央国务院《质量强国建设纲要》及《陕西省关于贯彻落实&lt;质量强国建设纲要&gt;的实施意见》的有关要求，增强我省企业质量和品牌发展能力，完善品牌培育发展机制，建立品牌培育管理体系，树立卓越绩效质量理念，传播先进质量管理方法，促进质量标杆示范引领作用，开展2026年卓越质量三秦行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2026年卓越质量三秦行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标的名称：2026年卓越质量三秦行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1、服务内容：</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在全省开展最少五场宣贯活动。从《质量强国建设纲要》解读、首席质量官工作要领、卓越绩效模式运行关键环节等展开授课。内容要深入浅出、贴合实际，具有很强的指导性和实操性要增强质量意识，让参会企业代表对GB/T19580《卓越绩效评价准则》主要条款有清晰的认知，增加对战略管理、顾客与市场、资源、过程管理等方面的认识。助力质量人才队伍建设，引领质量工作再上新台阶。</w:t>
            </w:r>
            <w:r>
              <w:rPr>
                <w:rFonts w:ascii="仿宋_GB2312" w:hAnsi="仿宋_GB2312" w:cs="仿宋_GB2312" w:eastAsia="仿宋_GB2312"/>
                <w:sz w:val="24"/>
              </w:rPr>
              <w:t>活动场地由供应商提供，每场活动现场不低于</w:t>
            </w:r>
            <w:r>
              <w:rPr>
                <w:rFonts w:ascii="仿宋_GB2312" w:hAnsi="仿宋_GB2312" w:cs="仿宋_GB2312" w:eastAsia="仿宋_GB2312"/>
                <w:sz w:val="24"/>
              </w:rPr>
              <w:t>100人；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2）组织省</w:t>
            </w:r>
            <w:r>
              <w:rPr>
                <w:rFonts w:ascii="仿宋_GB2312" w:hAnsi="仿宋_GB2312" w:cs="仿宋_GB2312" w:eastAsia="仿宋_GB2312"/>
                <w:sz w:val="24"/>
              </w:rPr>
              <w:t>内</w:t>
            </w:r>
            <w:r>
              <w:rPr>
                <w:rFonts w:ascii="仿宋_GB2312" w:hAnsi="仿宋_GB2312" w:cs="仿宋_GB2312" w:eastAsia="仿宋_GB2312"/>
                <w:sz w:val="24"/>
              </w:rPr>
              <w:t>外专家进入企业一对一进行问诊</w:t>
            </w:r>
            <w:r>
              <w:rPr>
                <w:rFonts w:ascii="仿宋_GB2312" w:hAnsi="仿宋_GB2312" w:cs="仿宋_GB2312" w:eastAsia="仿宋_GB2312"/>
                <w:sz w:val="24"/>
              </w:rPr>
              <w:t>每场次专家不低于</w:t>
            </w:r>
            <w:r>
              <w:rPr>
                <w:rFonts w:ascii="仿宋_GB2312" w:hAnsi="仿宋_GB2312" w:cs="仿宋_GB2312" w:eastAsia="仿宋_GB2312"/>
                <w:sz w:val="24"/>
              </w:rPr>
              <w:t>5人</w:t>
            </w:r>
            <w:r>
              <w:rPr>
                <w:rFonts w:ascii="仿宋_GB2312" w:hAnsi="仿宋_GB2312" w:cs="仿宋_GB2312" w:eastAsia="仿宋_GB2312"/>
                <w:sz w:val="24"/>
              </w:rPr>
              <w:t>（最少不低于</w:t>
            </w:r>
            <w:r>
              <w:rPr>
                <w:rFonts w:ascii="仿宋_GB2312" w:hAnsi="仿宋_GB2312" w:cs="仿宋_GB2312" w:eastAsia="仿宋_GB2312"/>
                <w:sz w:val="24"/>
              </w:rPr>
              <w:t>5家），包括质量管理、品牌建设等方面的座谈交流，推动产业转型升级和经济社会高质量发展注入了新的活力。</w:t>
            </w:r>
          </w:p>
          <w:p>
            <w:pPr>
              <w:pStyle w:val="null3"/>
              <w:jc w:val="left"/>
            </w:pPr>
            <w:r>
              <w:rPr>
                <w:rFonts w:ascii="仿宋_GB2312" w:hAnsi="仿宋_GB2312" w:cs="仿宋_GB2312" w:eastAsia="仿宋_GB2312"/>
                <w:sz w:val="24"/>
              </w:rPr>
              <w:t>2、团队要求：</w:t>
            </w:r>
          </w:p>
          <w:p>
            <w:pPr>
              <w:pStyle w:val="null3"/>
              <w:jc w:val="left"/>
            </w:pPr>
            <w:r>
              <w:rPr>
                <w:rFonts w:ascii="仿宋_GB2312" w:hAnsi="仿宋_GB2312" w:cs="仿宋_GB2312" w:eastAsia="仿宋_GB2312"/>
                <w:sz w:val="24"/>
              </w:rPr>
              <w:t>供应商需具备组织相关项目的经验，团队成员需熟悉质量领域专业知识。</w:t>
            </w:r>
          </w:p>
          <w:p>
            <w:pPr>
              <w:pStyle w:val="null3"/>
              <w:jc w:val="left"/>
            </w:pPr>
            <w:r>
              <w:rPr>
                <w:rFonts w:ascii="仿宋_GB2312" w:hAnsi="仿宋_GB2312" w:cs="仿宋_GB2312" w:eastAsia="仿宋_GB2312"/>
                <w:sz w:val="24"/>
              </w:rPr>
              <w:t>3、质量标准：</w:t>
            </w:r>
          </w:p>
          <w:p>
            <w:pPr>
              <w:pStyle w:val="null3"/>
              <w:jc w:val="left"/>
            </w:pPr>
            <w:r>
              <w:rPr>
                <w:rFonts w:ascii="仿宋_GB2312" w:hAnsi="仿宋_GB2312" w:cs="仿宋_GB2312" w:eastAsia="仿宋_GB2312"/>
                <w:sz w:val="24"/>
              </w:rPr>
              <w:t>所有服务需符合国家相关法律法规及行业规范，确保项目顺利完成。</w:t>
            </w:r>
          </w:p>
          <w:p>
            <w:pPr>
              <w:pStyle w:val="null3"/>
              <w:jc w:val="left"/>
            </w:pPr>
            <w:r>
              <w:rPr>
                <w:rFonts w:ascii="仿宋_GB2312" w:hAnsi="仿宋_GB2312" w:cs="仿宋_GB2312" w:eastAsia="仿宋_GB2312"/>
                <w:sz w:val="24"/>
              </w:rPr>
              <w:t>4、保密要求：</w:t>
            </w:r>
          </w:p>
          <w:p>
            <w:pPr>
              <w:pStyle w:val="null3"/>
              <w:jc w:val="left"/>
            </w:pPr>
            <w:r>
              <w:rPr>
                <w:rFonts w:ascii="仿宋_GB2312" w:hAnsi="仿宋_GB2312" w:cs="仿宋_GB2312" w:eastAsia="仿宋_GB2312"/>
                <w:sz w:val="24"/>
              </w:rPr>
              <w:t>对项目中涉及的企业数据、评价结果等信息严格保密，未经采购</w:t>
            </w:r>
            <w:r>
              <w:rPr>
                <w:rFonts w:ascii="仿宋_GB2312" w:hAnsi="仿宋_GB2312" w:cs="仿宋_GB2312" w:eastAsia="仿宋_GB2312"/>
                <w:sz w:val="24"/>
              </w:rPr>
              <w:t>人</w:t>
            </w:r>
            <w:r>
              <w:rPr>
                <w:rFonts w:ascii="仿宋_GB2312" w:hAnsi="仿宋_GB2312" w:cs="仿宋_GB2312" w:eastAsia="仿宋_GB2312"/>
                <w:sz w:val="24"/>
              </w:rPr>
              <w:t>允许不得泄露。</w:t>
            </w:r>
          </w:p>
          <w:p>
            <w:pPr>
              <w:pStyle w:val="null3"/>
              <w:jc w:val="left"/>
            </w:pPr>
            <w:r>
              <w:rPr>
                <w:rFonts w:ascii="仿宋_GB2312" w:hAnsi="仿宋_GB2312" w:cs="仿宋_GB2312" w:eastAsia="仿宋_GB2312"/>
                <w:sz w:val="24"/>
              </w:rPr>
              <w:t>5、项目验收</w:t>
            </w:r>
          </w:p>
          <w:p>
            <w:pPr>
              <w:pStyle w:val="null3"/>
              <w:jc w:val="left"/>
            </w:pPr>
            <w:r>
              <w:rPr>
                <w:rFonts w:ascii="仿宋_GB2312" w:hAnsi="仿宋_GB2312" w:cs="仿宋_GB2312" w:eastAsia="仿宋_GB2312"/>
                <w:sz w:val="24"/>
              </w:rPr>
              <w:t>供应商完成阶段服务内容后，根据服务内容整理专项服务报告交予采购人，并由采购人按照服务内容对其进行验收。</w:t>
            </w:r>
          </w:p>
          <w:p>
            <w:pPr>
              <w:pStyle w:val="null3"/>
              <w:jc w:val="left"/>
            </w:pPr>
            <w:r>
              <w:rPr>
                <w:rFonts w:ascii="仿宋_GB2312" w:hAnsi="仿宋_GB2312" w:cs="仿宋_GB2312" w:eastAsia="仿宋_GB2312"/>
                <w:sz w:val="24"/>
              </w:rPr>
              <w:t>6、违约责任</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1）按《中华人民共和国民法典》中的相关条款执行。</w:t>
            </w:r>
          </w:p>
          <w:p>
            <w:pPr>
              <w:pStyle w:val="null3"/>
            </w:pPr>
            <w:r>
              <w:rPr>
                <w:rFonts w:ascii="仿宋_GB2312" w:hAnsi="仿宋_GB2312" w:cs="仿宋_GB2312" w:eastAsia="仿宋_GB2312"/>
                <w:sz w:val="24"/>
              </w:rPr>
              <w:t>（</w:t>
            </w:r>
            <w:r>
              <w:rPr>
                <w:rFonts w:ascii="仿宋_GB2312" w:hAnsi="仿宋_GB2312" w:cs="仿宋_GB2312" w:eastAsia="仿宋_GB2312"/>
                <w:sz w:val="24"/>
              </w:rPr>
              <w:t>2）未按合同要求提供服务或服务质量不能满足技术要求，采购人有权终止合同，并对供应商的违约行为进行追究。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2662387611@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2024年度财务审计报告，或在开标日期前六个月内其基本开户银行出具的资信证明及基本存款账户开户许可证（基本账户信息）或财政部门认可的政府采购专业担保机构出具的投标担保函；</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供应商提供2025年09月至今已缴存的至少1个月的依法缴纳税收的相关凭据。依法免税或无须缴纳税收的供应商，应提供相应证明文件；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供应商提供2025年09月至今已缴存的至少1个月的社会保障资金缴存单据或社保机构开具的社会保险参保缴费情况证明。依法不需要缴纳社会保障资金的供应商应提供相关证明文件；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法定代表人授权委托书：法定代表人参加投标的，须出示身份证复印件；法定代表人授权他人参加投标的，须提供法定代表人授权委托书及被授权人身份证复印件；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本项目不接受联合体磋商，提供非联合体磋商声明。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供应商提供拒绝政府采购领域商业贿赂承诺书,否则按响应文件作为无效处理。</w:t>
            </w:r>
          </w:p>
        </w:tc>
        <w:tc>
          <w:tcPr>
            <w:tcW w:type="dxa" w:w="1661"/>
          </w:tcPr>
          <w:p>
            <w:pPr>
              <w:pStyle w:val="null3"/>
            </w:pPr>
            <w:r>
              <w:rPr>
                <w:rFonts w:ascii="仿宋_GB2312" w:hAnsi="仿宋_GB2312" w:cs="仿宋_GB2312" w:eastAsia="仿宋_GB2312"/>
              </w:rPr>
              <w:t>4承诺书.docx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4承诺书.docx 7实施方案.docx 报价表 2商务部分偏离表.docx 12重难点分析.docx 14保密方案.docx 16项目负责人.docx 19业绩.docx 17团队人员.docx 18预期效果.docx 5服务响应偏离表.docx 6项目理解及总体思路.docx 标的清单 监狱企业的证明文件 10物料准备.docx 13应急方案.docx 8质量保障措施.docx 中小企业声明函 9场地选择及布置.docx 响应文件封面 15增值服务.docx 11进度计划.docx 残疾人福利性单位声明函 1分项价格表.docx 响应函 3资格证明文件.docx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项目理解及总体思路</w:t>
            </w:r>
          </w:p>
        </w:tc>
        <w:tc>
          <w:tcPr>
            <w:tcW w:type="dxa" w:w="2492"/>
          </w:tcPr>
          <w:p>
            <w:pPr>
              <w:pStyle w:val="null3"/>
            </w:pPr>
            <w:r>
              <w:rPr>
                <w:rFonts w:ascii="仿宋_GB2312" w:hAnsi="仿宋_GB2312" w:cs="仿宋_GB2312" w:eastAsia="仿宋_GB2312"/>
              </w:rPr>
              <w:t>具有对本项目的工作内容理解、总体设计思路。能清楚描述本次工作任务目标，对项目把握准确，重点突出，技术建议叙述完整。 完全满足采购需求，无瑕疵：8分； 内容存在1处瑕疵：7分； 内容存在2处瑕疵：6分； 内容存在3处瑕疵：5分； 内容存在4处瑕疵：4分； 内容存在5处瑕疵：3分； 内容存在6处瑕疵：2分； 内容存在7处瑕疵：1分； 未提供或内容存在8处及以上瑕疵：0分。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6项目理解及总体思路.docx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针对本次项目特点制定整体实施方案。至少包含活动主题及内容设定、活动宣传、参与渠道及方式、活动时间地点安排及流程、专家库储备等内容。 完全满足采购需求，无瑕疵：12分； 方案内容存在1处瑕疵：10分； 方案内容存在2处瑕疵：8分； 方案内容存在3处瑕疵：6分； 方案内容存在4处瑕疵：4分； 方案内容存在5处瑕疵：2分； 未提供或内容存在6处及以上瑕疵：0分。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供应商对本项目有详细、具体的宣贯活动举办质量保障方案。质量保证方案贴合项目需求。 完全满足采购需求，无瑕疵：8分；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8质量保障措施.docx</w:t>
            </w:r>
          </w:p>
        </w:tc>
      </w:tr>
      <w:tr>
        <w:tc>
          <w:tcPr>
            <w:tcW w:type="dxa" w:w="831"/>
            <w:vMerge/>
          </w:tcPr>
          <w:p/>
        </w:tc>
        <w:tc>
          <w:tcPr>
            <w:tcW w:type="dxa" w:w="1661"/>
          </w:tcPr>
          <w:p>
            <w:pPr>
              <w:pStyle w:val="null3"/>
            </w:pPr>
            <w:r>
              <w:rPr>
                <w:rFonts w:ascii="仿宋_GB2312" w:hAnsi="仿宋_GB2312" w:cs="仿宋_GB2312" w:eastAsia="仿宋_GB2312"/>
              </w:rPr>
              <w:t>场地选择及布置</w:t>
            </w:r>
          </w:p>
        </w:tc>
        <w:tc>
          <w:tcPr>
            <w:tcW w:type="dxa" w:w="2492"/>
          </w:tcPr>
          <w:p>
            <w:pPr>
              <w:pStyle w:val="null3"/>
            </w:pPr>
            <w:r>
              <w:rPr>
                <w:rFonts w:ascii="仿宋_GB2312" w:hAnsi="仿宋_GB2312" w:cs="仿宋_GB2312" w:eastAsia="仿宋_GB2312"/>
              </w:rPr>
              <w:t>供应商针对宣贯活动场地选择，活动场地地理位置便利，交通便捷，场地规模符合项目需求，且具备活动举办相关设施。 完全满足采购需求，无瑕疵：8分；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9场地选择及布置.docx</w:t>
            </w:r>
          </w:p>
        </w:tc>
      </w:tr>
      <w:tr>
        <w:tc>
          <w:tcPr>
            <w:tcW w:type="dxa" w:w="831"/>
            <w:vMerge/>
          </w:tcPr>
          <w:p/>
        </w:tc>
        <w:tc>
          <w:tcPr>
            <w:tcW w:type="dxa" w:w="1661"/>
          </w:tcPr>
          <w:p>
            <w:pPr>
              <w:pStyle w:val="null3"/>
            </w:pPr>
            <w:r>
              <w:rPr>
                <w:rFonts w:ascii="仿宋_GB2312" w:hAnsi="仿宋_GB2312" w:cs="仿宋_GB2312" w:eastAsia="仿宋_GB2312"/>
              </w:rPr>
              <w:t>物料 准备</w:t>
            </w:r>
          </w:p>
        </w:tc>
        <w:tc>
          <w:tcPr>
            <w:tcW w:type="dxa" w:w="2492"/>
          </w:tcPr>
          <w:p>
            <w:pPr>
              <w:pStyle w:val="null3"/>
            </w:pPr>
            <w:r>
              <w:rPr>
                <w:rFonts w:ascii="仿宋_GB2312" w:hAnsi="仿宋_GB2312" w:cs="仿宋_GB2312" w:eastAsia="仿宋_GB2312"/>
              </w:rPr>
              <w:t>供应商针对宣贯活动的相关物料准备，提供包括但不限于以下内容：活动宣传资料、活动内容资料、签到表、姓名牌、横幅、展架、背景板等，并确保所有物料按时交付，以保障宣贯活动的顺利进行。 完全满足采购需求，无瑕疵：8分；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10物料准备.docx</w:t>
            </w:r>
          </w:p>
        </w:tc>
      </w:tr>
      <w:tr>
        <w:tc>
          <w:tcPr>
            <w:tcW w:type="dxa" w:w="831"/>
            <w:vMerge/>
          </w:tcPr>
          <w:p/>
        </w:tc>
        <w:tc>
          <w:tcPr>
            <w:tcW w:type="dxa" w:w="1661"/>
          </w:tcPr>
          <w:p>
            <w:pPr>
              <w:pStyle w:val="null3"/>
            </w:pPr>
            <w:r>
              <w:rPr>
                <w:rFonts w:ascii="仿宋_GB2312" w:hAnsi="仿宋_GB2312" w:cs="仿宋_GB2312" w:eastAsia="仿宋_GB2312"/>
              </w:rPr>
              <w:t>进度 计划</w:t>
            </w:r>
          </w:p>
        </w:tc>
        <w:tc>
          <w:tcPr>
            <w:tcW w:type="dxa" w:w="2492"/>
          </w:tcPr>
          <w:p>
            <w:pPr>
              <w:pStyle w:val="null3"/>
            </w:pPr>
            <w:r>
              <w:rPr>
                <w:rFonts w:ascii="仿宋_GB2312" w:hAnsi="仿宋_GB2312" w:cs="仿宋_GB2312" w:eastAsia="仿宋_GB2312"/>
              </w:rPr>
              <w:t>供应商针对本项目服务期及场次要求提供进度计划安排方案，确保项目顺利进行。 完全满足项目实际需求，无瑕疵计6分； 方案存在1处瑕疵计5分； 方案存在2处瑕疵计4分； 方案存在3处瑕疵计3分； 方案存在4处瑕疵计2分； 方案存在5处瑕疵计1分； 方案存在6处瑕疵或未提供计0分。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11进度计划.docx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针对本次项目实施过程中的重点、难点分析。重点、难点分析清晰合理，重点把控准确，难点解决思路明确，解决计划可行性强。 完全满足采购需求，无瑕疵：5分； 方案内容存在1处瑕疵：4分； 方案内容存在2处瑕疵：3分； 方案内容存在3处瑕疵：2分； 方案内容存在4处瑕疵：1分；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12重难点分析.docx</w:t>
            </w:r>
          </w:p>
        </w:tc>
      </w:tr>
      <w:tr>
        <w:tc>
          <w:tcPr>
            <w:tcW w:type="dxa" w:w="831"/>
            <w:vMerge/>
          </w:tcPr>
          <w:p/>
        </w:tc>
        <w:tc>
          <w:tcPr>
            <w:tcW w:type="dxa" w:w="1661"/>
          </w:tcPr>
          <w:p>
            <w:pPr>
              <w:pStyle w:val="null3"/>
            </w:pPr>
            <w:r>
              <w:rPr>
                <w:rFonts w:ascii="仿宋_GB2312" w:hAnsi="仿宋_GB2312" w:cs="仿宋_GB2312" w:eastAsia="仿宋_GB2312"/>
              </w:rPr>
              <w:t>应急 方案</w:t>
            </w:r>
          </w:p>
        </w:tc>
        <w:tc>
          <w:tcPr>
            <w:tcW w:type="dxa" w:w="2492"/>
          </w:tcPr>
          <w:p>
            <w:pPr>
              <w:pStyle w:val="null3"/>
            </w:pPr>
            <w:r>
              <w:rPr>
                <w:rFonts w:ascii="仿宋_GB2312" w:hAnsi="仿宋_GB2312" w:cs="仿宋_GB2312" w:eastAsia="仿宋_GB2312"/>
              </w:rPr>
              <w:t>供应商针对本项目有应急预案体系和安全保障方案，针对活动过程中可能出现的突发状况制定应急方案，保证出现突发事情时及时采取应对措施。 完全满足项目实际需求，无瑕疵计6分； 方案存在1处瑕疵计5分； 方案存在2处瑕疵计4分； 方案存在3处瑕疵计3分； 方案存在4处瑕疵计2分； 方案存在5处瑕疵计1分； 方案存在6处瑕疵或未提供计0分。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13应急方案.docx</w:t>
            </w:r>
          </w:p>
        </w:tc>
      </w:tr>
      <w:tr>
        <w:tc>
          <w:tcPr>
            <w:tcW w:type="dxa" w:w="831"/>
            <w:vMerge/>
          </w:tcPr>
          <w:p/>
        </w:tc>
        <w:tc>
          <w:tcPr>
            <w:tcW w:type="dxa" w:w="1661"/>
          </w:tcPr>
          <w:p>
            <w:pPr>
              <w:pStyle w:val="null3"/>
            </w:pPr>
            <w:r>
              <w:rPr>
                <w:rFonts w:ascii="仿宋_GB2312" w:hAnsi="仿宋_GB2312" w:cs="仿宋_GB2312" w:eastAsia="仿宋_GB2312"/>
              </w:rPr>
              <w:t>保密 方案</w:t>
            </w:r>
          </w:p>
        </w:tc>
        <w:tc>
          <w:tcPr>
            <w:tcW w:type="dxa" w:w="2492"/>
          </w:tcPr>
          <w:p>
            <w:pPr>
              <w:pStyle w:val="null3"/>
            </w:pPr>
            <w:r>
              <w:rPr>
                <w:rFonts w:ascii="仿宋_GB2312" w:hAnsi="仿宋_GB2312" w:cs="仿宋_GB2312" w:eastAsia="仿宋_GB2312"/>
              </w:rPr>
              <w:t>供应商针对项目需求提供具体的保密方案，并承诺对项目中涉及的企业数据、评价结果等信息严格保密，未经采购方允许不得泄露。仅提供方案未提供明确承诺的此项不计分。 完全满足项目实际需求，无瑕疵计6分； 方案存在1处瑕疵计5分； 方案存在2处瑕疵计4分； 方案存在3处瑕疵计3分； 方案存在4处瑕疵计2分； 方案存在5处瑕疵计1分； 方案存在6处瑕疵或未提供计0分。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14保密方案.docx</w:t>
            </w:r>
          </w:p>
        </w:tc>
      </w:tr>
      <w:tr>
        <w:tc>
          <w:tcPr>
            <w:tcW w:type="dxa" w:w="831"/>
            <w:vMerge/>
          </w:tcPr>
          <w:p/>
        </w:tc>
        <w:tc>
          <w:tcPr>
            <w:tcW w:type="dxa" w:w="1661"/>
          </w:tcPr>
          <w:p>
            <w:pPr>
              <w:pStyle w:val="null3"/>
            </w:pPr>
            <w:r>
              <w:rPr>
                <w:rFonts w:ascii="仿宋_GB2312" w:hAnsi="仿宋_GB2312" w:cs="仿宋_GB2312" w:eastAsia="仿宋_GB2312"/>
              </w:rPr>
              <w:t>增值 服务</w:t>
            </w:r>
          </w:p>
        </w:tc>
        <w:tc>
          <w:tcPr>
            <w:tcW w:type="dxa" w:w="2492"/>
          </w:tcPr>
          <w:p>
            <w:pPr>
              <w:pStyle w:val="null3"/>
            </w:pPr>
            <w:r>
              <w:rPr>
                <w:rFonts w:ascii="仿宋_GB2312" w:hAnsi="仿宋_GB2312" w:cs="仿宋_GB2312" w:eastAsia="仿宋_GB2312"/>
              </w:rPr>
              <w:t>增值服务：除采购人要求的服务外，供应商还能够提供实质性其他增值类服务。 方案完全满足项目需求，无瑕疵：3分； 方案存在1处瑕疵：2分； 方案存在2处瑕疵：1分；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15增值服务.docx</w:t>
            </w:r>
          </w:p>
        </w:tc>
      </w:tr>
      <w:tr>
        <w:tc>
          <w:tcPr>
            <w:tcW w:type="dxa" w:w="831"/>
            <w:vMerge/>
          </w:tcPr>
          <w:p/>
        </w:tc>
        <w:tc>
          <w:tcPr>
            <w:tcW w:type="dxa" w:w="1661"/>
          </w:tcPr>
          <w:p>
            <w:pPr>
              <w:pStyle w:val="null3"/>
            </w:pPr>
            <w:r>
              <w:rPr>
                <w:rFonts w:ascii="仿宋_GB2312" w:hAnsi="仿宋_GB2312" w:cs="仿宋_GB2312" w:eastAsia="仿宋_GB2312"/>
              </w:rPr>
              <w:t>项目 负责人</w:t>
            </w:r>
          </w:p>
        </w:tc>
        <w:tc>
          <w:tcPr>
            <w:tcW w:type="dxa" w:w="2492"/>
          </w:tcPr>
          <w:p>
            <w:pPr>
              <w:pStyle w:val="null3"/>
            </w:pPr>
            <w:r>
              <w:rPr>
                <w:rFonts w:ascii="仿宋_GB2312" w:hAnsi="仿宋_GB2312" w:cs="仿宋_GB2312" w:eastAsia="仿宋_GB2312"/>
              </w:rPr>
              <w:t>提供项目负责人详细的履历表、从业经验、相关证书等。 完全满足采购需求，无瑕疵：3分； 内容存在1处瑕疵：2分； 内容存在2处瑕疵：1分；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16项目负责人.docx</w:t>
            </w:r>
          </w:p>
        </w:tc>
      </w:tr>
      <w:tr>
        <w:tc>
          <w:tcPr>
            <w:tcW w:type="dxa" w:w="831"/>
            <w:vMerge/>
          </w:tcPr>
          <w:p/>
        </w:tc>
        <w:tc>
          <w:tcPr>
            <w:tcW w:type="dxa" w:w="1661"/>
          </w:tcPr>
          <w:p>
            <w:pPr>
              <w:pStyle w:val="null3"/>
            </w:pPr>
            <w:r>
              <w:rPr>
                <w:rFonts w:ascii="仿宋_GB2312" w:hAnsi="仿宋_GB2312" w:cs="仿宋_GB2312" w:eastAsia="仿宋_GB2312"/>
              </w:rPr>
              <w:t>团队 人员</w:t>
            </w:r>
          </w:p>
        </w:tc>
        <w:tc>
          <w:tcPr>
            <w:tcW w:type="dxa" w:w="2492"/>
          </w:tcPr>
          <w:p>
            <w:pPr>
              <w:pStyle w:val="null3"/>
            </w:pPr>
            <w:r>
              <w:rPr>
                <w:rFonts w:ascii="仿宋_GB2312" w:hAnsi="仿宋_GB2312" w:cs="仿宋_GB2312" w:eastAsia="仿宋_GB2312"/>
              </w:rPr>
              <w:t>供应商针对本项目服务内容设置专一对接工作小组，明确对接人员及人员工作安排。项目团队成员配备齐全，组织架构完整，职责划分明确。 完全满足采购需求，无瑕疵：8分； 内容存在1处瑕疵：7分； 内容存在2处瑕疵：6分； 内容存在3处瑕疵：5分； 内容存在4处瑕疵：4分； 内容存在5处瑕疵：3分； 内容存在6处瑕疵：2分； 内容存在7处瑕疵：1分；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17团队人员.docx</w:t>
            </w:r>
          </w:p>
        </w:tc>
      </w:tr>
      <w:tr>
        <w:tc>
          <w:tcPr>
            <w:tcW w:type="dxa" w:w="831"/>
            <w:vMerge/>
          </w:tcPr>
          <w:p/>
        </w:tc>
        <w:tc>
          <w:tcPr>
            <w:tcW w:type="dxa" w:w="1661"/>
          </w:tcPr>
          <w:p>
            <w:pPr>
              <w:pStyle w:val="null3"/>
            </w:pPr>
            <w:r>
              <w:rPr>
                <w:rFonts w:ascii="仿宋_GB2312" w:hAnsi="仿宋_GB2312" w:cs="仿宋_GB2312" w:eastAsia="仿宋_GB2312"/>
              </w:rPr>
              <w:t>预期 效果</w:t>
            </w:r>
          </w:p>
        </w:tc>
        <w:tc>
          <w:tcPr>
            <w:tcW w:type="dxa" w:w="2492"/>
          </w:tcPr>
          <w:p>
            <w:pPr>
              <w:pStyle w:val="null3"/>
            </w:pPr>
            <w:r>
              <w:rPr>
                <w:rFonts w:ascii="仿宋_GB2312" w:hAnsi="仿宋_GB2312" w:cs="仿宋_GB2312" w:eastAsia="仿宋_GB2312"/>
              </w:rPr>
              <w:t>针对活动预期效果进行阐述。预期效果阐述合理准确，符合项目目的。 完全满足采购需求，无瑕疵：4分； 内容存在1处瑕疵：3分； 内容存在2处瑕疵：2分； 内容存在3处瑕疵：1分；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18预期效果.docx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提供供应商2022年1月1日至今同类项目合同，每提供1个得1分，满分5分。（以合同签订日期为准） 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19业绩.docx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 说明：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详见附件：6项目理解及总体思路.docx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详见附件：8质量保障措施.docx</w:t>
      </w:r>
    </w:p>
    <w:p>
      <w:pPr>
        <w:pStyle w:val="null3"/>
        <w:ind w:firstLine="960"/>
      </w:pPr>
      <w:r>
        <w:rPr>
          <w:rFonts w:ascii="仿宋_GB2312" w:hAnsi="仿宋_GB2312" w:cs="仿宋_GB2312" w:eastAsia="仿宋_GB2312"/>
        </w:rPr>
        <w:t>详见附件：9场地选择及布置.docx</w:t>
      </w:r>
    </w:p>
    <w:p>
      <w:pPr>
        <w:pStyle w:val="null3"/>
        <w:ind w:firstLine="960"/>
      </w:pPr>
      <w:r>
        <w:rPr>
          <w:rFonts w:ascii="仿宋_GB2312" w:hAnsi="仿宋_GB2312" w:cs="仿宋_GB2312" w:eastAsia="仿宋_GB2312"/>
        </w:rPr>
        <w:t>详见附件：10物料准备.docx</w:t>
      </w:r>
    </w:p>
    <w:p>
      <w:pPr>
        <w:pStyle w:val="null3"/>
        <w:ind w:firstLine="960"/>
      </w:pPr>
      <w:r>
        <w:rPr>
          <w:rFonts w:ascii="仿宋_GB2312" w:hAnsi="仿宋_GB2312" w:cs="仿宋_GB2312" w:eastAsia="仿宋_GB2312"/>
        </w:rPr>
        <w:t>详见附件：11进度计划.docx</w:t>
      </w:r>
    </w:p>
    <w:p>
      <w:pPr>
        <w:pStyle w:val="null3"/>
        <w:ind w:firstLine="960"/>
      </w:pPr>
      <w:r>
        <w:rPr>
          <w:rFonts w:ascii="仿宋_GB2312" w:hAnsi="仿宋_GB2312" w:cs="仿宋_GB2312" w:eastAsia="仿宋_GB2312"/>
        </w:rPr>
        <w:t>详见附件：12重难点分析.docx</w:t>
      </w:r>
    </w:p>
    <w:p>
      <w:pPr>
        <w:pStyle w:val="null3"/>
        <w:ind w:firstLine="960"/>
      </w:pPr>
      <w:r>
        <w:rPr>
          <w:rFonts w:ascii="仿宋_GB2312" w:hAnsi="仿宋_GB2312" w:cs="仿宋_GB2312" w:eastAsia="仿宋_GB2312"/>
        </w:rPr>
        <w:t>详见附件：13应急方案.docx</w:t>
      </w:r>
    </w:p>
    <w:p>
      <w:pPr>
        <w:pStyle w:val="null3"/>
        <w:ind w:firstLine="960"/>
      </w:pPr>
      <w:r>
        <w:rPr>
          <w:rFonts w:ascii="仿宋_GB2312" w:hAnsi="仿宋_GB2312" w:cs="仿宋_GB2312" w:eastAsia="仿宋_GB2312"/>
        </w:rPr>
        <w:t>详见附件：14保密方案.docx</w:t>
      </w:r>
    </w:p>
    <w:p>
      <w:pPr>
        <w:pStyle w:val="null3"/>
        <w:ind w:firstLine="960"/>
      </w:pPr>
      <w:r>
        <w:rPr>
          <w:rFonts w:ascii="仿宋_GB2312" w:hAnsi="仿宋_GB2312" w:cs="仿宋_GB2312" w:eastAsia="仿宋_GB2312"/>
        </w:rPr>
        <w:t>详见附件：15增值服务.docx</w:t>
      </w:r>
    </w:p>
    <w:p>
      <w:pPr>
        <w:pStyle w:val="null3"/>
        <w:ind w:firstLine="960"/>
      </w:pPr>
      <w:r>
        <w:rPr>
          <w:rFonts w:ascii="仿宋_GB2312" w:hAnsi="仿宋_GB2312" w:cs="仿宋_GB2312" w:eastAsia="仿宋_GB2312"/>
        </w:rPr>
        <w:t>详见附件：16项目负责人.docx</w:t>
      </w:r>
    </w:p>
    <w:p>
      <w:pPr>
        <w:pStyle w:val="null3"/>
        <w:ind w:firstLine="960"/>
      </w:pPr>
      <w:r>
        <w:rPr>
          <w:rFonts w:ascii="仿宋_GB2312" w:hAnsi="仿宋_GB2312" w:cs="仿宋_GB2312" w:eastAsia="仿宋_GB2312"/>
        </w:rPr>
        <w:t>详见附件：17团队人员.docx</w:t>
      </w:r>
    </w:p>
    <w:p>
      <w:pPr>
        <w:pStyle w:val="null3"/>
        <w:ind w:firstLine="960"/>
      </w:pPr>
      <w:r>
        <w:rPr>
          <w:rFonts w:ascii="仿宋_GB2312" w:hAnsi="仿宋_GB2312" w:cs="仿宋_GB2312" w:eastAsia="仿宋_GB2312"/>
        </w:rPr>
        <w:t>详见附件：18预期效果.docx</w:t>
      </w:r>
    </w:p>
    <w:p>
      <w:pPr>
        <w:pStyle w:val="null3"/>
        <w:ind w:firstLine="960"/>
      </w:pPr>
      <w:r>
        <w:rPr>
          <w:rFonts w:ascii="仿宋_GB2312" w:hAnsi="仿宋_GB2312" w:cs="仿宋_GB2312" w:eastAsia="仿宋_GB2312"/>
        </w:rPr>
        <w:t>详见附件：19业绩.docx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