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版本号：HBZB2026-01520260414001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电子化考试技术服务项目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HBZB2026-015</w:t>
      </w:r>
      <w:r>
        <w:br/>
      </w:r>
      <w:r>
        <w:br/>
      </w:r>
      <w:r>
        <w:br/>
      </w:r>
    </w:p>
    <w:p>
      <w:pPr>
        <w:pStyle w:val="null3"/>
        <w:jc w:val="center"/>
        <w:outlineLvl w:val="2"/>
      </w:pPr>
      <w:r>
        <w:rPr>
          <w:rFonts w:ascii="仿宋_GB2312" w:hAnsi="仿宋_GB2312" w:cs="仿宋_GB2312" w:eastAsia="仿宋_GB2312"/>
          <w:sz w:val="28"/>
          <w:b/>
        </w:rPr>
        <w:t>省人事考试中心</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省人事考试中心</w:t>
      </w:r>
      <w:r>
        <w:rPr>
          <w:rFonts w:ascii="仿宋_GB2312" w:hAnsi="仿宋_GB2312" w:cs="仿宋_GB2312" w:eastAsia="仿宋_GB2312"/>
        </w:rPr>
        <w:t>委托，拟对</w:t>
      </w:r>
      <w:r>
        <w:rPr>
          <w:rFonts w:ascii="仿宋_GB2312" w:hAnsi="仿宋_GB2312" w:cs="仿宋_GB2312" w:eastAsia="仿宋_GB2312"/>
        </w:rPr>
        <w:t>电子化考试技术服务项目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电子化考试技术服务项目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陕西省人事考试中心电子化考试技术服务项目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采购包1（电子化考试技术服务项目）：属于专门面向中小企业采购。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省人事考试中心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任向梅、曹军军、祁静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代理服务费收费标准：参照国家计委颁布的《招标代理服务收费管理暂行办法》（计价格[2002]1980号）及发改办价格[2003]857号文件的规定标准收取。由成交单位在领取成交通知书前，向代理机构缴纳。 代理费缴纳账户： 开户名称：陕西华博项目管理有限公司 开户银行：中国建设银行股份有限公司西安高新技术产业开发区支行 银行账号：61050192090000003265 转账事由：HBZB2026-015项目代理服务费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省人事考试中心</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省人事考试中心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省人事考试中心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联系人：任向梅、曹军军、祁静</w:t>
      </w:r>
    </w:p>
    <w:p>
      <w:pPr>
        <w:pStyle w:val="null3"/>
      </w:pPr>
      <w:r>
        <w:rPr>
          <w:rFonts w:ascii="仿宋_GB2312" w:hAnsi="仿宋_GB2312" w:cs="仿宋_GB2312" w:eastAsia="仿宋_GB2312"/>
        </w:rPr>
        <w:t>联系电话：029-861008</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陕西省人事考试中心电子化考试技术服务项目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电子化考试技术服务项目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标的名称：电子化考试技术服务项目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采购内容及要求</w:t>
            </w:r>
          </w:p>
          <w:p>
            <w:pPr>
              <w:pStyle w:val="null3"/>
              <w:ind w:left="-360" w:right="-360" w:firstLine="3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陕西省</w:t>
            </w:r>
            <w:r>
              <w:rPr>
                <w:rFonts w:ascii="仿宋_GB2312" w:hAnsi="仿宋_GB2312" w:cs="仿宋_GB2312" w:eastAsia="仿宋_GB2312"/>
                <w:sz w:val="20"/>
              </w:rPr>
              <w:t>2026</w:t>
            </w:r>
            <w:r>
              <w:rPr>
                <w:rFonts w:ascii="仿宋_GB2312" w:hAnsi="仿宋_GB2312" w:cs="仿宋_GB2312" w:eastAsia="仿宋_GB2312"/>
                <w:sz w:val="20"/>
              </w:rPr>
              <w:t>年度人事考试电子化考试包含人力资源和社会保障部组织实施全国</w:t>
            </w:r>
            <w:r>
              <w:rPr>
                <w:rFonts w:ascii="仿宋_GB2312" w:hAnsi="仿宋_GB2312" w:cs="仿宋_GB2312" w:eastAsia="仿宋_GB2312"/>
                <w:sz w:val="20"/>
              </w:rPr>
              <w:t>“经济专业技术资格（初中级、高级）考试、翻译专业技术资格（口译、笔译）考试、公安机关面向公安院校公安专业毕业生考试录用公务员考试、执业药师资格考试”等电子化考试。根据人社部人事考试中心的规定，全国各考区必须使用人力资源和社会保障部人事考试中心统一下发的通用人事机考系统实施考试。本项目包括人事考试电子化考试机房验收与系统安装、模拟考试及培训、考前封场、正式考试技术服务。</w:t>
            </w:r>
          </w:p>
          <w:p>
            <w:pPr>
              <w:pStyle w:val="null3"/>
              <w:ind w:left="-360" w:right="-360" w:firstLine="300"/>
              <w:jc w:val="both"/>
            </w:pPr>
            <w:r>
              <w:rPr>
                <w:rFonts w:ascii="仿宋_GB2312" w:hAnsi="仿宋_GB2312" w:cs="仿宋_GB2312" w:eastAsia="仿宋_GB2312"/>
                <w:sz w:val="20"/>
              </w:rPr>
              <w:t>二、技术要求</w:t>
            </w:r>
          </w:p>
          <w:p>
            <w:pPr>
              <w:pStyle w:val="null3"/>
              <w:jc w:val="both"/>
            </w:pPr>
            <w:r>
              <w:rPr>
                <w:rFonts w:ascii="仿宋_GB2312" w:hAnsi="仿宋_GB2312" w:cs="仿宋_GB2312" w:eastAsia="仿宋_GB2312"/>
              </w:rPr>
              <w:t>1.机房验收和人事机考系统安装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考前一个月，成交供应商安排技术服务人员对各考点考场软硬件环境进行排查验收。现场核对验证考点、考场信息的准确性，包括考点机位数量，检查考点地址、考场地址和备用机数量是否正确等。考点机房验收完毕，提交各考场的环境检测报告、准确的考点考场机位信息给采购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）人事机考系统安装和环境检测：</w:t>
            </w:r>
          </w:p>
          <w:p>
            <w:pPr>
              <w:pStyle w:val="null3"/>
              <w:ind w:firstLine="400"/>
              <w:jc w:val="both"/>
            </w:pPr>
            <w:r>
              <w:rPr>
                <w:rFonts w:ascii="仿宋_GB2312" w:hAnsi="仿宋_GB2312" w:cs="仿宋_GB2312" w:eastAsia="仿宋_GB2312"/>
                <w:sz w:val="20"/>
              </w:rPr>
              <w:t>1.完成考点管理系统、监考管理系统、同步备份系统、考生作答系统安装。</w:t>
            </w:r>
          </w:p>
          <w:p>
            <w:pPr>
              <w:pStyle w:val="null3"/>
              <w:ind w:firstLine="400"/>
              <w:jc w:val="both"/>
            </w:pPr>
            <w:r>
              <w:rPr>
                <w:rFonts w:ascii="仿宋_GB2312" w:hAnsi="仿宋_GB2312" w:cs="仿宋_GB2312" w:eastAsia="仿宋_GB2312"/>
                <w:sz w:val="20"/>
              </w:rPr>
              <w:t>2.协助采购人和考点进行GPTMIS、VPN的集成维护，以及加密锁（监考锁、VPNKey）的注册和管理。</w:t>
            </w:r>
          </w:p>
          <w:p>
            <w:pPr>
              <w:pStyle w:val="null3"/>
              <w:ind w:firstLine="400"/>
              <w:jc w:val="both"/>
            </w:pPr>
            <w:r>
              <w:rPr>
                <w:rFonts w:ascii="仿宋_GB2312" w:hAnsi="仿宋_GB2312" w:cs="仿宋_GB2312" w:eastAsia="仿宋_GB2312"/>
                <w:sz w:val="20"/>
              </w:rPr>
              <w:t>3.考点机导入考场数据，考场监考机完成考场注册和机位管理。执行监考机和考生机环境检测，确认考试期间（含模考）考生机可切断外网连接，可有效阻止考生利用互联网泄题、查找答案或远程控制。完成环境检测后在考务规定的时间下载试题数据包，完成考场封场。</w:t>
            </w:r>
          </w:p>
          <w:p>
            <w:pPr>
              <w:pStyle w:val="null3"/>
              <w:ind w:firstLine="400"/>
              <w:jc w:val="both"/>
            </w:pPr>
            <w:r>
              <w:rPr>
                <w:rFonts w:ascii="仿宋_GB2312" w:hAnsi="仿宋_GB2312" w:cs="仿宋_GB2312" w:eastAsia="仿宋_GB2312"/>
                <w:sz w:val="20"/>
              </w:rPr>
              <w:t>4.安装各考试语种输入法，对每一台考生机的耳麦进行测试，调试考生机的声音参数设置符合要求，保证声音的播放和录音清晰（适用于翻译口译考试）。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考前培训</w:t>
            </w:r>
          </w:p>
          <w:p>
            <w:pPr>
              <w:pStyle w:val="null3"/>
              <w:ind w:firstLine="400"/>
              <w:jc w:val="both"/>
            </w:pPr>
            <w:r>
              <w:rPr>
                <w:rFonts w:ascii="仿宋_GB2312" w:hAnsi="仿宋_GB2312" w:cs="仿宋_GB2312" w:eastAsia="仿宋_GB2312"/>
                <w:sz w:val="20"/>
              </w:rPr>
              <w:t>1.成交供应商在考前组织面向全省各级考务人员、考点系统管理员、考场监考员的系统培训，培训内容包括系统操作、常见故障处理、应急响应等，培训须向采购人提供自主编写的培训方案和教材。</w:t>
            </w:r>
          </w:p>
          <w:p>
            <w:pPr>
              <w:pStyle w:val="null3"/>
              <w:jc w:val="both"/>
            </w:pPr>
            <w:r>
              <w:rPr>
                <w:rFonts w:ascii="仿宋_GB2312" w:hAnsi="仿宋_GB2312" w:cs="仿宋_GB2312" w:eastAsia="仿宋_GB2312"/>
              </w:rPr>
              <w:t>2.对参与培训人员进行培训考核，以此检验培训效果。未能通过考核人员需继续参与培训，直到通过培训。考核结束后，将各考点培训情况和考核记录上报采购人。</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模拟考试</w:t>
            </w:r>
          </w:p>
          <w:p>
            <w:pPr>
              <w:pStyle w:val="null3"/>
              <w:ind w:firstLine="400"/>
              <w:jc w:val="both"/>
            </w:pPr>
            <w:r>
              <w:rPr>
                <w:rFonts w:ascii="仿宋_GB2312" w:hAnsi="仿宋_GB2312" w:cs="仿宋_GB2312" w:eastAsia="仿宋_GB2312"/>
                <w:sz w:val="20"/>
              </w:rPr>
              <w:t>1.采购人协调考点配合做好模拟考试工作，在正考前</w:t>
            </w:r>
            <w:r>
              <w:rPr>
                <w:rFonts w:ascii="仿宋_GB2312" w:hAnsi="仿宋_GB2312" w:cs="仿宋_GB2312" w:eastAsia="仿宋_GB2312"/>
                <w:sz w:val="20"/>
              </w:rPr>
              <w:t>1</w:t>
            </w:r>
            <w:r>
              <w:rPr>
                <w:rFonts w:ascii="仿宋_GB2312" w:hAnsi="仿宋_GB2312" w:cs="仿宋_GB2312" w:eastAsia="仿宋_GB2312"/>
                <w:sz w:val="20"/>
              </w:rPr>
              <w:t>周，成交供应商技术服务人员、考点共同完成模拟考试实施及培训工作。</w:t>
            </w:r>
          </w:p>
          <w:p>
            <w:pPr>
              <w:pStyle w:val="null3"/>
              <w:ind w:firstLine="400"/>
              <w:jc w:val="both"/>
            </w:pPr>
            <w:r>
              <w:rPr>
                <w:rFonts w:ascii="仿宋_GB2312" w:hAnsi="仿宋_GB2312" w:cs="仿宋_GB2312" w:eastAsia="仿宋_GB2312"/>
                <w:sz w:val="20"/>
              </w:rPr>
              <w:t>2.成交供应商技术服务人员技术指导考点系统管理员载入考场编排数据、模考考试数据，组织考点系统管理员对所有考场进行模拟考试，生成模考报告。</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正考封场</w:t>
            </w:r>
          </w:p>
          <w:p>
            <w:pPr>
              <w:pStyle w:val="null3"/>
              <w:ind w:firstLine="400"/>
              <w:jc w:val="both"/>
            </w:pPr>
            <w:r>
              <w:rPr>
                <w:rFonts w:ascii="仿宋_GB2312" w:hAnsi="仿宋_GB2312" w:cs="仿宋_GB2312" w:eastAsia="仿宋_GB2312"/>
                <w:sz w:val="20"/>
              </w:rPr>
              <w:t>1.在正考前</w:t>
            </w:r>
            <w:r>
              <w:rPr>
                <w:rFonts w:ascii="仿宋_GB2312" w:hAnsi="仿宋_GB2312" w:cs="仿宋_GB2312" w:eastAsia="仿宋_GB2312"/>
                <w:sz w:val="20"/>
              </w:rPr>
              <w:t>1</w:t>
            </w:r>
            <w:r>
              <w:rPr>
                <w:rFonts w:ascii="仿宋_GB2312" w:hAnsi="仿宋_GB2312" w:cs="仿宋_GB2312" w:eastAsia="仿宋_GB2312"/>
                <w:sz w:val="20"/>
              </w:rPr>
              <w:t>天，成交供应商技术服务人员须组织考点系统管理员做好正考封场。</w:t>
            </w:r>
          </w:p>
          <w:p>
            <w:pPr>
              <w:pStyle w:val="null3"/>
              <w:ind w:firstLine="400"/>
              <w:jc w:val="both"/>
            </w:pPr>
            <w:r>
              <w:rPr>
                <w:rFonts w:ascii="仿宋_GB2312" w:hAnsi="仿宋_GB2312" w:cs="仿宋_GB2312" w:eastAsia="仿宋_GB2312"/>
                <w:sz w:val="20"/>
              </w:rPr>
              <w:t>2.各考场监考机、考生机，考点机完成模考数据清理。各考场监考机完成考前的参数设置、机位管理、环境检测、载入考场数据、封场检测等。点机导出各考场注册信息、载入正考考试授权、封场检测并扫码上报。</w:t>
            </w:r>
          </w:p>
          <w:p>
            <w:pPr>
              <w:pStyle w:val="null3"/>
              <w:ind w:firstLine="400"/>
              <w:jc w:val="both"/>
            </w:pPr>
            <w:r>
              <w:rPr>
                <w:rFonts w:ascii="仿宋_GB2312" w:hAnsi="仿宋_GB2312" w:cs="仿宋_GB2312" w:eastAsia="仿宋_GB2312"/>
                <w:sz w:val="20"/>
              </w:rPr>
              <w:t>3.在线跟进和汇报各考点封场情况，对于不能顺利封场的考点，成交供应商技术服务人员须协调技术辅助人员进行在线技术支援，确保正考前完成封场。</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正考考中</w:t>
            </w:r>
          </w:p>
          <w:p>
            <w:pPr>
              <w:pStyle w:val="null3"/>
              <w:ind w:firstLine="400"/>
              <w:jc w:val="both"/>
            </w:pPr>
            <w:r>
              <w:rPr>
                <w:rFonts w:ascii="仿宋_GB2312" w:hAnsi="仿宋_GB2312" w:cs="仿宋_GB2312" w:eastAsia="仿宋_GB2312"/>
                <w:sz w:val="20"/>
              </w:rPr>
              <w:t>1.成交供应商须实时做好考点、考场技术服务保障工作，成交供应商技术服务人员、考点系统管理员须认真履行岗位职责，严格按照电子化考试操作指引完成好各个时间节点的工作任务。</w:t>
            </w:r>
          </w:p>
          <w:p>
            <w:pPr>
              <w:pStyle w:val="null3"/>
              <w:ind w:firstLine="400"/>
              <w:jc w:val="both"/>
            </w:pPr>
            <w:r>
              <w:rPr>
                <w:rFonts w:ascii="仿宋_GB2312" w:hAnsi="仿宋_GB2312" w:cs="仿宋_GB2312" w:eastAsia="仿宋_GB2312"/>
                <w:sz w:val="20"/>
              </w:rPr>
              <w:t>2.遇到突发情况，须及时上报巡考人员，积极配合采购人进行突发应急处理，及时解决考试过程中的各种技术及系统问题。</w:t>
            </w:r>
          </w:p>
          <w:p>
            <w:pPr>
              <w:pStyle w:val="null3"/>
              <w:ind w:firstLine="400"/>
              <w:jc w:val="both"/>
            </w:pPr>
            <w:r>
              <w:rPr>
                <w:rFonts w:ascii="仿宋_GB2312" w:hAnsi="仿宋_GB2312" w:cs="仿宋_GB2312" w:eastAsia="仿宋_GB2312"/>
                <w:sz w:val="20"/>
              </w:rPr>
              <w:t>3.每场次考试完毕，须协助考场、考点做好现场数据核对及上报，并确保考生作答数据准确、完整。</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正考考后</w:t>
            </w:r>
          </w:p>
          <w:p>
            <w:pPr>
              <w:pStyle w:val="null3"/>
              <w:ind w:firstLine="400"/>
              <w:jc w:val="both"/>
            </w:pPr>
            <w:r>
              <w:rPr>
                <w:rFonts w:ascii="仿宋_GB2312" w:hAnsi="仿宋_GB2312" w:cs="仿宋_GB2312" w:eastAsia="仿宋_GB2312"/>
                <w:sz w:val="20"/>
              </w:rPr>
              <w:t>1.每个考试项目正考结束后1日内，成交供应商现场技术支持人员须协助采购人进行相关数据回收与核对，须确保无误。</w:t>
            </w:r>
          </w:p>
          <w:p>
            <w:pPr>
              <w:pStyle w:val="null3"/>
              <w:jc w:val="both"/>
            </w:pPr>
            <w:r>
              <w:rPr>
                <w:rFonts w:ascii="仿宋_GB2312" w:hAnsi="仿宋_GB2312" w:cs="仿宋_GB2312" w:eastAsia="仿宋_GB2312"/>
              </w:rPr>
              <w:t>7.</w:t>
            </w:r>
            <w:r>
              <w:rPr>
                <w:rFonts w:ascii="仿宋_GB2312" w:hAnsi="仿宋_GB2312" w:cs="仿宋_GB2312" w:eastAsia="仿宋_GB2312"/>
              </w:rPr>
              <w:t>技术服务人员配置</w:t>
            </w:r>
          </w:p>
          <w:p>
            <w:pPr>
              <w:pStyle w:val="null3"/>
              <w:jc w:val="both"/>
            </w:pPr>
            <w:r>
              <w:rPr>
                <w:rFonts w:ascii="仿宋_GB2312" w:hAnsi="仿宋_GB2312" w:cs="仿宋_GB2312" w:eastAsia="仿宋_GB2312"/>
              </w:rPr>
              <w:t>1.配备项目经理1名，负责本项目的实施管理，及时向采购人汇报实施进度、质量。</w:t>
            </w:r>
          </w:p>
          <w:p>
            <w:pPr>
              <w:pStyle w:val="null3"/>
              <w:jc w:val="both"/>
            </w:pPr>
            <w:r>
              <w:rPr>
                <w:rFonts w:ascii="仿宋_GB2312" w:hAnsi="仿宋_GB2312" w:cs="仿宋_GB2312" w:eastAsia="仿宋_GB2312"/>
              </w:rPr>
              <w:t>★每个考点选派1名考点技术负责人，并根据考场编排情况配置充足的考场技术服务人员。</w:t>
            </w:r>
          </w:p>
          <w:p>
            <w:pPr>
              <w:pStyle w:val="null3"/>
              <w:jc w:val="both"/>
            </w:pPr>
            <w:r>
              <w:rPr>
                <w:rFonts w:ascii="仿宋_GB2312" w:hAnsi="仿宋_GB2312" w:cs="仿宋_GB2312" w:eastAsia="仿宋_GB2312"/>
              </w:rPr>
              <w:t>2.人员技术素质要求：项目经理、考点技术负责人必须具备从事过大型机考技术服务1年以上工作经验，有使用人社部通用人事机考系统实施职业资格考试的经验，能够熟练掌握通用人事机考系统和网络相关技能,熟知系统管理员岗位职责和考务要求，具备机考异常和应急处理、快速解决考试常见问题的技术能力。</w:t>
            </w:r>
          </w:p>
          <w:p>
            <w:pPr>
              <w:pStyle w:val="null3"/>
              <w:jc w:val="both"/>
            </w:pPr>
            <w:r>
              <w:rPr>
                <w:rFonts w:ascii="仿宋_GB2312" w:hAnsi="仿宋_GB2312" w:cs="仿宋_GB2312" w:eastAsia="仿宋_GB2312"/>
              </w:rPr>
              <w:t>3.为适应部分考点采用国产化机房的实施服务要求，技术服务商实施保障人员应具备相应的国产化维护、保障资质。</w:t>
            </w:r>
          </w:p>
          <w:p>
            <w:pPr>
              <w:pStyle w:val="null3"/>
              <w:jc w:val="both"/>
            </w:pPr>
            <w:r>
              <w:rPr>
                <w:rFonts w:ascii="仿宋_GB2312" w:hAnsi="仿宋_GB2312" w:cs="仿宋_GB2312" w:eastAsia="仿宋_GB2312"/>
              </w:rPr>
              <w:t>4.服务供应商应具备丰富的机考实施经验，以及数字化、透明化机考实施和管理能力。并能够在电子化考试服务全过程中使用具备自主知识产权的透明化考试服务管理系统对所有技术服务人员、考点、考场的工作进行实时跟踪、汇报和管理，并向采购人开放权限，使采购人能够实时掌握各项电子化考试实施各阶段工作的进展情况和所出现的问题。能够实现人员管理、考试任务管理、里程碑管理、任务汇报、考试进度汇报、问题报告及处理、技术人员考核评价、常见问题库管理等功能，并提供多组数据表盘组合的项目监控驾驶舱，从多个维度动态展现项目的整体进展情况。</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保密要求</w:t>
            </w:r>
          </w:p>
          <w:p>
            <w:pPr>
              <w:pStyle w:val="null3"/>
              <w:ind w:firstLine="400"/>
              <w:jc w:val="both"/>
            </w:pPr>
            <w:r>
              <w:rPr>
                <w:rFonts w:ascii="仿宋_GB2312" w:hAnsi="仿宋_GB2312" w:cs="仿宋_GB2312" w:eastAsia="仿宋_GB2312"/>
                <w:sz w:val="20"/>
              </w:rPr>
              <w:t>1.技术服务相关的文档、数据等为保密信息，未经采购人书面同意，不得以任何理由披露，成交供应商应与采购人签订保密协议。</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其他服务要求</w:t>
            </w:r>
          </w:p>
          <w:p>
            <w:pPr>
              <w:pStyle w:val="null3"/>
              <w:ind w:firstLine="400"/>
              <w:jc w:val="both"/>
            </w:pPr>
            <w:r>
              <w:rPr>
                <w:rFonts w:ascii="仿宋_GB2312" w:hAnsi="仿宋_GB2312" w:cs="仿宋_GB2312" w:eastAsia="仿宋_GB2312"/>
                <w:sz w:val="20"/>
              </w:rPr>
              <w:t>1.供应商须接受采购人对各考试项目技术服务执行情况、服务质量等的监督、检查和验收。正式考试实施过程中，供应商技术服务人员现场应急技术处理不当造成采购人经济损失，须按照采购人的要求进行赔偿。</w:t>
            </w:r>
          </w:p>
          <w:p>
            <w:pPr>
              <w:pStyle w:val="null3"/>
              <w:ind w:right="-330" w:firstLine="400"/>
              <w:jc w:val="both"/>
            </w:pPr>
            <w:r>
              <w:rPr>
                <w:rFonts w:ascii="仿宋_GB2312" w:hAnsi="仿宋_GB2312" w:cs="仿宋_GB2312" w:eastAsia="仿宋_GB2312"/>
                <w:sz w:val="20"/>
              </w:rPr>
              <w:t>2.供应商所提供的技术服务需满足人事机考系统数据安全保障要求，对人社部通用人事机考系统安全数据规范、电子化考试考务管理规范有深刻理解和掌握，能熟悉掌握系统运行架构和相关运行原理以快速处理应急技术问题，能为本项目人事考试电子化考试提供全面的技术保障。合同签订后，供应商如不能履行合同或所提供的服务与技术参数不符合合同规定及磋商文件规定标准的，采购人有权拒绝该服务。</w:t>
            </w:r>
          </w:p>
          <w:p>
            <w:pPr>
              <w:pStyle w:val="null3"/>
              <w:spacing w:before="75" w:after="75"/>
              <w:jc w:val="both"/>
            </w:pPr>
            <w:r>
              <w:rPr>
                <w:rFonts w:ascii="仿宋_GB2312" w:hAnsi="仿宋_GB2312" w:cs="仿宋_GB2312" w:eastAsia="仿宋_GB2312"/>
                <w:sz w:val="20"/>
              </w:rPr>
              <w:t>三、商务条件</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、交付地点：采购人指定地点。</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、交付时间：一年，具体以合同约定为准。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、交付条件：验收合格并交付使用。</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、是否收取履约保证金：否。</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、是否邀请未成交供应商参与验收：否。</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、验收方式：每个考试项目正考过程实施顺利，考后数据上报回收，并经人社部考试中心核对无误后即视为验收合格。</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、支付方式：根据成交供应商的成交单价和考试实际报名人数结算。（</w:t>
            </w:r>
            <w:r>
              <w:rPr>
                <w:rFonts w:ascii="仿宋_GB2312" w:hAnsi="仿宋_GB2312" w:cs="仿宋_GB2312" w:eastAsia="仿宋_GB2312"/>
                <w:sz w:val="20"/>
              </w:rPr>
              <w:t>1）双方在单个项目完成后的15个工作日内进行结算，由采购人在结算后的15个工作日内向成交供应商进行支付；若双方对结算情况有异议，以采购人统计数据为准。（2）在采购人支付款项前，成交供应商应提供等额增值税专用发票，否则采购人不承担由此产生的逾期付款责任。</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该项目报价已综合考虑了合同履行过程中的各项因素和风险，包括但不限于国家地方的法律法规或技术规范的变更风险、市场价格波动风险及成交供应商履行全部合同义务所需的一切费用，采购人不再追加支付任何费用。签订合同后和项目实施过程中，成交供应商不得以不完全了解项目情况为由，提出任何形式的增加服务费用的要求。</w:t>
            </w:r>
          </w:p>
          <w:p>
            <w:pPr>
              <w:pStyle w:val="null3"/>
              <w:spacing w:before="75" w:after="75"/>
              <w:jc w:val="both"/>
            </w:pPr>
            <w:r>
              <w:rPr>
                <w:rFonts w:ascii="仿宋_GB2312" w:hAnsi="仿宋_GB2312" w:cs="仿宋_GB2312" w:eastAsia="仿宋_GB2312"/>
                <w:sz w:val="20"/>
              </w:rPr>
              <w:t>四、其他事项</w:t>
            </w:r>
          </w:p>
          <w:p>
            <w:pPr>
              <w:pStyle w:val="null3"/>
              <w:spacing w:before="75" w:after="75"/>
              <w:ind w:firstLine="400"/>
              <w:jc w:val="both"/>
            </w:pPr>
            <w:r>
              <w:rPr>
                <w:rFonts w:ascii="仿宋_GB2312" w:hAnsi="仿宋_GB2312" w:cs="仿宋_GB2312" w:eastAsia="仿宋_GB2312"/>
                <w:sz w:val="20"/>
              </w:rPr>
              <w:t>1</w:t>
            </w:r>
            <w:r>
              <w:rPr>
                <w:rFonts w:ascii="仿宋_GB2312" w:hAnsi="仿宋_GB2312" w:cs="仿宋_GB2312" w:eastAsia="仿宋_GB2312"/>
                <w:sz w:val="20"/>
              </w:rPr>
              <w:t>、除竞争性磋商文件另有规定外，若出现有关法律、法规和规章有强制性规定但竞争性磋商文件未列明的情形，则供应商应按照有关法律、法规和规章强制性规定执行。</w:t>
            </w:r>
          </w:p>
          <w:p>
            <w:pPr>
              <w:pStyle w:val="null3"/>
              <w:spacing w:before="75" w:after="75"/>
              <w:ind w:firstLine="400"/>
              <w:jc w:val="both"/>
            </w:pPr>
            <w:r>
              <w:rPr>
                <w:rFonts w:ascii="仿宋_GB2312" w:hAnsi="仿宋_GB2312" w:cs="仿宋_GB2312" w:eastAsia="仿宋_GB2312"/>
                <w:sz w:val="20"/>
              </w:rPr>
              <w:t>2</w:t>
            </w:r>
            <w:r>
              <w:rPr>
                <w:rFonts w:ascii="仿宋_GB2312" w:hAnsi="仿宋_GB2312" w:cs="仿宋_GB2312" w:eastAsia="仿宋_GB2312"/>
                <w:sz w:val="20"/>
              </w:rPr>
              <w:t>、其他：</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本项目不允许成交供应商以任何名义和理由进行转包，如有发现，采购人有权单方终止合同，视为成交供应商违约。如成交供应商违约对采购人造成损失的，成交供应商还需另行支付相应的赔偿。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全部考试服务项目完成，供应商提供结算票据后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服务质量标准：符合国家和行业相关技术标准和规范要求。本项目为单价报价，据实结算，支付最高不超过预算金额，若实际超出预算部分由成交供应商承担。 单价最高限价：69元/人·科，其中分项最高限价：考场时长1.5小时：11元/人·科，考场时长2小时：12元/人·科，考场时长2.5小时：14元/人·科，考场时长3小时：16元/人·科，翻译资格考试：16元/人·科。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业绩.docx 服务内容及服务邀请应答表 供应商应提供的资格证明文件.docx 中小企业声明函 项目团队.docx 商务应答表 供应商实力.docx 报价表 响应文件封面 分项报价表.docx 残疾人福利性单位声明函 保证金交纳凭证.docx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业绩.docx 服务内容及服务邀请应答表 项目团队.docx 商务应答表 服务方案 供应商实力.docx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服务内容及服务邀请应答表 项目团队.docx 商务应答表 服务方案 供应商实力.docx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供应商提供针对本项目的实施方案。内容包括但不限于考前培训，设备保障，技术服务，考务人员安排，考后数据回收上报、数据备份等内容。 1.实施方案全面、合理，可行性强，得8分； 2.实施方案较全面、较合理，具有较强的可行性，得6分； 3.实施方案基本全面、基本合理，基本具有可行性，得4分； 4.实施方案全面性及合理性较差，可行性较差，得2分；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项目分析方案</w:t>
            </w:r>
          </w:p>
        </w:tc>
        <w:tc>
          <w:tcPr>
            <w:tcW w:type="dxa" w:w="2492"/>
          </w:tcPr>
          <w:p>
            <w:pPr>
              <w:pStyle w:val="null3"/>
            </w:pPr>
            <w:r>
              <w:rPr>
                <w:rFonts w:ascii="仿宋_GB2312" w:hAnsi="仿宋_GB2312" w:cs="仿宋_GB2312" w:eastAsia="仿宋_GB2312"/>
              </w:rPr>
              <w:t>根据供应商针对本项目分析方案（包括对项目需求的理解及服务过程中可能遇到的重点、难点问题分析是否准确到位、合理化建议是否准确到位等情况）： 1.方案全面、合理，可行性强，得12分； 2.方案较全面、较合理，具有较强的可行性，得10分； 3.方案基本全面、基本合理，基本具有可行性，得8分； 4.方案全面性及合理性较差，可行性较差，得6分；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模拟考试服务方案</w:t>
            </w:r>
          </w:p>
        </w:tc>
        <w:tc>
          <w:tcPr>
            <w:tcW w:type="dxa" w:w="2492"/>
          </w:tcPr>
          <w:p>
            <w:pPr>
              <w:pStyle w:val="null3"/>
            </w:pPr>
            <w:r>
              <w:rPr>
                <w:rFonts w:ascii="仿宋_GB2312" w:hAnsi="仿宋_GB2312" w:cs="仿宋_GB2312" w:eastAsia="仿宋_GB2312"/>
              </w:rPr>
              <w:t>根据供应商针对本项目所提供模拟考试服务方案，内容包括但不限于：考试系统安装部署、模拟测试、异常问题沟通汇报、异常问题处理、生成模考报告等内容; 1.方案全面、合理，可行性强，得4分； 2.方案较全面、较合理，具有较强的可行性，得3分； 3.方案基本全面、基本合理，基本具有可行性，得2分； 4.方案全面性及合理性较差，可行性较差，得1分；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封场服务方案</w:t>
            </w:r>
          </w:p>
        </w:tc>
        <w:tc>
          <w:tcPr>
            <w:tcW w:type="dxa" w:w="2492"/>
          </w:tcPr>
          <w:p>
            <w:pPr>
              <w:pStyle w:val="null3"/>
            </w:pPr>
            <w:r>
              <w:rPr>
                <w:rFonts w:ascii="仿宋_GB2312" w:hAnsi="仿宋_GB2312" w:cs="仿宋_GB2312" w:eastAsia="仿宋_GB2312"/>
              </w:rPr>
              <w:t>根据供应商针对本项目所提供封场服务方案（包括系统调试、封场检测）： 1.方案全面、合理，可行性强，得4分； 2.方案较全面、较合理，具有较强的可行性，得3分； 3.方案基本全面、基本合理，基本具有可行性，得2分； 4.方案全面性及合理性较差，可行性较差，得1分；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正考实施服务方案</w:t>
            </w:r>
          </w:p>
        </w:tc>
        <w:tc>
          <w:tcPr>
            <w:tcW w:type="dxa" w:w="2492"/>
          </w:tcPr>
          <w:p>
            <w:pPr>
              <w:pStyle w:val="null3"/>
            </w:pPr>
            <w:r>
              <w:rPr>
                <w:rFonts w:ascii="仿宋_GB2312" w:hAnsi="仿宋_GB2312" w:cs="仿宋_GB2312" w:eastAsia="仿宋_GB2312"/>
              </w:rPr>
              <w:t>供应商应充分了解人事机考系统特点与原理，熟悉本项目所涉及GPTMIS、VPN网络和加密锁的集成和维护，具备保障本考区GPTMIS、加密锁管理，以及各考点VPN网络维护的能力。根据供应商针对本项目所提供正考实施服务方案（包括考前培训、人员配置、正考阶段的现场服务、考后阶段服务、考后回收上报、考后数据备份等）： 1.方案全面、合理，可行性强，得12分； 2.方案较全面、较合理，具有较强的可行性，得10分； 3.方案基本全面、基本合理，基本具有可行性，得8分； 4.方案全面性及合理性较差，可行性较差，得6分；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根据供应商针对本项目提供的安全保密方案进行综合评分，包括但不限于保密制度、保密义务、保密责任及服务团队人员保密培训等内容。 1.方案全面、合理，可行性强，得5分； 2.方案较全面、较合理，具有较强的可行性，得4分； 3.方案基本全面、基本合理，基本具有可行性，得3分； 4.方案全面性及合理性较差，可行性较差，得2分；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供应商根据项目服务内容与各项要求，做好突发事件应急保障措施。 1.方案全面、合理，可行性强，得5分； 2.方案较全面、较合理，具有较强的可行性，得4分； 3.方案基本全面、基本合理，基本具有可行性，得3分； 4.方案全面性及合理性较差，可行性较差，得2分；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根据供应商提供的后期服务方案，包括但不限于后期服务保障体系、保障措施、技术及人员支持能力、服务响应程度、承诺等方面进行综合评价。 1.方案全面、合理，可行性强，得5分； 2.方案较全面、较合理，具有较强的可行性，得4分； 3.方案基本全面、基本合理，基本具有可行性，得3分； 4.方案全面性及合理性较差，可行性较差，得2分；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考试安全、数据安全以及防作弊能力</w:t>
            </w:r>
          </w:p>
        </w:tc>
        <w:tc>
          <w:tcPr>
            <w:tcW w:type="dxa" w:w="2492"/>
          </w:tcPr>
          <w:p>
            <w:pPr>
              <w:pStyle w:val="null3"/>
            </w:pPr>
            <w:r>
              <w:rPr>
                <w:rFonts w:ascii="仿宋_GB2312" w:hAnsi="仿宋_GB2312" w:cs="仿宋_GB2312" w:eastAsia="仿宋_GB2312"/>
              </w:rPr>
              <w:t>服务商应充分掌握人社部通用人事机考系统的防作弊功能，满足人社部人事机考系统数据安全保障要求，对机考系统安全数据规范有深刻理解和掌握，能够有效预防和制止考生的作弊行为。根据供应商的考试安全、数据安全和防作弊能力进行评审： （1）有参与人社部人事机考系统维护与技术支持，能够结合人社部通用人事机考系统功能，提供考生机切断外网的检测方法及系统操作截图。并能够充分掌握人社部通用人事机考系统防作弊功能的，得12分； （2）只参与人社部机考系统技术支持，但不能结合人社部通用人事机考系统功能提供考生机切断外网检测方法或系统操作截图，或未完全掌握人社部通用人事机考系统的防作弊功能的，得6分； （3）不能提供考生机切断外网检测方法或系统操作截图，且不了解人社部通用人事机考系统的防作弊功能的，不得分。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为本项目配备的国产化实施保障人员应具备工信部颁发的相关资质： （1）信创信息系统运维工程师； （2）信创信息安全工程师； （3）网络通信安全管理员资质。 以上每满足1项得1分（同一人获得多项资质的不可同时计算），本项最高得3分。 注：①提供身份证、资质证书的复印件；②提供持有上述资质证书的团队成员投标人为其缴纳的投标截止时间前3个月内任意一个月的社会养老保险证明（不含投标截止时间当月）。 项目经理具备较好的组织管理和协调能力，自2023年1月1日至今具有人社部人事机考系统机考实施经验，得2分。 （注：提供相类似项目业绩证明材料中需体现项目经理姓名，另需提供投标人为其缴纳的开标截止时间前3个月内任意一个月的社会养老保险证明（不含投标截止时间当月），未提供不得分。）（项目经理业绩与企业业绩不得重复，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根据供应商自2023年1月1日至今（以合同签订日期为准）的业绩情况进行打分：具有使用人社部人事机考系统的机考技术支持服务业绩的，每提供一个得2分，满分10分。 注：①须提供业绩项目的中标（成交）公告（提供相关网站中标（成交）公告的下载网页并注明网址）、中标（成交）通知书复印件、采购合同文本复印件（合同首页、名称页、签署页）；未同时提供上述材料的不得分。（项目经理业绩与企业业绩不得重复，否则不得分）；②同一用户单位不同年份的业绩不累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1.供应商具有信息安全服务资质认定证书一级服务资质的得 2分；二级资质得1分；三级资质得0.5分，未提供不得分。 注：须提供有效的证书复印件加盖投标人公章。 2.供应商的透明化考试服务管理系统具备自主知识产权，可提供软件著作权证明得1分。注：须提供有效的证书复印件加盖投标人公章。 3.针对本项目，供应商承诺在考试期间，因考点应急处理的需要，可提供移动智能考场技术服务支持（用移动电脑等移动设备迅速组建移动考点，配备移动电脑内置有一键收发软件，能批量快速安装人社部人事机考系统。配备的设备能支持人社部人事机考系统顺畅运行）。 注：提供承诺函承诺满足要求得2分；承诺函不满足要求或未提供承诺函不得分。 4.供应商独立承担使用人社部人事机考系统的机考实施项目获得采购人满意度评价，评价情况至少须为“满意”或“优”或类似好评的方可计分。每提供1份，得1分。最高得2分。未提供不得分。 注：提供的证明材料需加盖用户单位公章。 5.供应商承诺在本项目服务过程中，全程接受采购人的服务考评；若服务过程中，因投标人及其相关人员处理不当造成采购人损失，接受采购人的处罚。 提供承诺函承诺满足要求的得1分，承诺函不满足要求或未提供承诺函不得分。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供应商实力.docx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