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版本号：HC-FZB-2026-01820260423004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热水供应设备采购安装及售后服务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HC-FZB-2026-018</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热水供应设备采购安装及售后服务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HC-FZB-2026-018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热水供应设备采购安装及售后服务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在医疗科技楼负三层增加热水供应设备，安装到位满足医疗科技楼日常热水使用需求。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采购包1（热水供应设备采购安装及售后服务）：属于专门面向中小企业采购。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投标人不得为“信用中国”网站（www.creditchina.gov.cn）中列入失信被执行人（页面跳转至“中国执行信息公开网”http://zxgk.court.gov.cn/shixin/）和重大税收违法案件当事人名单的投标人，不得为中国政府采购网（www.ccgp.gov.cn）政府采购严重违法失信行为记录名单中被财政部门禁止参加政府采购活动的投标人；（以开标现场资格审查查询为准）。</w:t>
      </w:r>
    </w:p>
    <w:p>
      <w:pPr>
        <w:pStyle w:val="null3"/>
      </w:pPr>
      <w:r>
        <w:rPr>
          <w:rFonts w:ascii="仿宋_GB2312" w:hAnsi="仿宋_GB2312" w:cs="仿宋_GB2312" w:eastAsia="仿宋_GB2312"/>
        </w:rPr>
        <w:t>2、授权委托书：法定代表人授权书（附法定代表人、被授权人身份证复印件）及被授权人身份证（法定代表人直接参加投标，须提供法定代表人身份证明及身份证）。</w:t>
      </w:r>
    </w:p>
    <w:p>
      <w:pPr>
        <w:pStyle w:val="null3"/>
      </w:pPr>
      <w:r>
        <w:rPr>
          <w:rFonts w:ascii="仿宋_GB2312" w:hAnsi="仿宋_GB2312" w:cs="仿宋_GB2312" w:eastAsia="仿宋_GB2312"/>
        </w:rPr>
        <w:t>3、企业资质：供应商具有建筑机电安装工程专业承包三级以上（含三级）资质，同时具有有效的安全生产许可证。</w:t>
      </w:r>
    </w:p>
    <w:p>
      <w:pPr>
        <w:pStyle w:val="null3"/>
      </w:pPr>
      <w:r>
        <w:rPr>
          <w:rFonts w:ascii="仿宋_GB2312" w:hAnsi="仿宋_GB2312" w:cs="仿宋_GB2312" w:eastAsia="仿宋_GB2312"/>
        </w:rPr>
        <w:t>4、拟派项目负责人：拟派项目经理须具有在本单位注册的机电工程专业二级及以上注册建造师证书和有效的安全生产考核合格证（B证），并提供无在建工程承诺和无不良记录承诺。</w:t>
      </w:r>
    </w:p>
    <w:p>
      <w:pPr>
        <w:pStyle w:val="null3"/>
      </w:pPr>
      <w:r>
        <w:rPr>
          <w:rFonts w:ascii="仿宋_GB2312" w:hAnsi="仿宋_GB2312" w:cs="仿宋_GB2312" w:eastAsia="仿宋_GB2312"/>
        </w:rPr>
        <w:t>5、投标人及拟派项目经理查询截图：投标人及拟派项目经理在“陕西省住房和城乡建设厅（http://js.shaanxi.gov.cn）”或“全国建筑市场监管公共服务平台（https://jzsc.mohurd.gov.cn/home）”网站可查询；</w:t>
      </w:r>
    </w:p>
    <w:p>
      <w:pPr>
        <w:pStyle w:val="null3"/>
      </w:pPr>
      <w:r>
        <w:rPr>
          <w:rFonts w:ascii="仿宋_GB2312" w:hAnsi="仿宋_GB2312" w:cs="仿宋_GB2312" w:eastAsia="仿宋_GB2312"/>
        </w:rPr>
        <w:t>6、控股关联关系：单位负责人为同一人或者存在控股、管理关系的不同投标人，不得参加本项目同一合同下的政府采购活动。</w:t>
      </w:r>
    </w:p>
    <w:p>
      <w:pPr>
        <w:pStyle w:val="null3"/>
      </w:pPr>
      <w:r>
        <w:rPr>
          <w:rFonts w:ascii="仿宋_GB2312" w:hAnsi="仿宋_GB2312" w:cs="仿宋_GB2312" w:eastAsia="仿宋_GB2312"/>
        </w:rPr>
        <w:t>7、本项目不接受联合体磋商：本项目不接受联合体磋商。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17791287533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 印发招标代理服务收费管理暂行办法的通知》 （计价格〔2002〕 1980 号）和国家 发改委办公厅颁发的《关于招标代理服务收费有关问题的通知》 （发改办价格 〔2003〕857 号）文件规定标准计算收取；代理服务费具体收费金额将在成交公告中公布。</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踏勘时间：2026-04-22 14:30:00</w:t>
            </w:r>
          </w:p>
          <w:p>
            <w:pPr>
              <w:pStyle w:val="null3"/>
              <w:ind w:firstLine="975"/>
            </w:pPr>
            <w:r>
              <w:rPr>
                <w:rFonts w:ascii="仿宋_GB2312" w:hAnsi="仿宋_GB2312" w:cs="仿宋_GB2312" w:eastAsia="仿宋_GB2312"/>
              </w:rPr>
              <w:t>踏勘地点：西安市莲湖区丰镐西路48号西安医学院第一附属医院住院二部一层大厅</w:t>
            </w:r>
          </w:p>
          <w:p>
            <w:pPr>
              <w:pStyle w:val="null3"/>
              <w:ind w:firstLine="975"/>
            </w:pPr>
            <w:r>
              <w:rPr>
                <w:rFonts w:ascii="仿宋_GB2312" w:hAnsi="仿宋_GB2312" w:cs="仿宋_GB2312" w:eastAsia="仿宋_GB2312"/>
              </w:rPr>
              <w:t>联系人：贾思宁</w:t>
            </w:r>
          </w:p>
          <w:p>
            <w:pPr>
              <w:pStyle w:val="null3"/>
              <w:ind w:firstLine="975"/>
            </w:pPr>
            <w:r>
              <w:rPr>
                <w:rFonts w:ascii="仿宋_GB2312" w:hAnsi="仿宋_GB2312" w:cs="仿宋_GB2312" w:eastAsia="仿宋_GB2312"/>
              </w:rPr>
              <w:t>联系电话号码：17791287533</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联系人：贾思宁</w:t>
      </w:r>
    </w:p>
    <w:p>
      <w:pPr>
        <w:pStyle w:val="null3"/>
      </w:pPr>
      <w:r>
        <w:rPr>
          <w:rFonts w:ascii="仿宋_GB2312" w:hAnsi="仿宋_GB2312" w:cs="仿宋_GB2312" w:eastAsia="仿宋_GB2312"/>
        </w:rPr>
        <w:t>联系电话：17791287533</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热水供应设备采购安装及售后服务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标的名称：热水供应设备采购安装及售后服务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一、工程概况：</w:t>
            </w:r>
            <w:r>
              <w:rPr>
                <w:rFonts w:ascii="仿宋_GB2312" w:hAnsi="仿宋_GB2312" w:cs="仿宋_GB2312" w:eastAsia="仿宋_GB2312"/>
                <w:sz w:val="21"/>
              </w:rPr>
              <w:t>在医疗科技楼负三层增加热水供应设备，安装</w:t>
            </w:r>
          </w:p>
          <w:p>
            <w:pPr>
              <w:pStyle w:val="null3"/>
              <w:jc w:val="both"/>
            </w:pPr>
            <w:r>
              <w:rPr>
                <w:rFonts w:ascii="仿宋_GB2312" w:hAnsi="仿宋_GB2312" w:cs="仿宋_GB2312" w:eastAsia="仿宋_GB2312"/>
                <w:sz w:val="21"/>
              </w:rPr>
              <w:t>到位满足医疗科技楼日常热水使用需求</w:t>
            </w:r>
            <w:r>
              <w:rPr>
                <w:rFonts w:ascii="仿宋_GB2312" w:hAnsi="仿宋_GB2312" w:cs="仿宋_GB2312" w:eastAsia="仿宋_GB2312"/>
                <w:sz w:val="21"/>
              </w:rPr>
              <w:t>.</w:t>
            </w:r>
          </w:p>
          <w:p>
            <w:pPr>
              <w:pStyle w:val="null3"/>
              <w:spacing w:before="60"/>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、工程量清单：</w:t>
            </w:r>
          </w:p>
          <w:tbl>
            <w:tblPr>
              <w:tblInd w:type="dxa" w:w="90"/>
              <w:tblBorders>
                <w:top w:val="none" w:color="000000" w:sz="4"/>
                <w:left w:val="none" w:color="000000" w:sz="4"/>
                <w:bottom w:val="none" w:color="000000" w:sz="4"/>
                <w:right w:val="none" w:color="000000" w:sz="4"/>
                <w:insideH w:val="none"/>
                <w:insideV w:val="none"/>
              </w:tblBorders>
            </w:tblPr>
            <w:tblGrid>
              <w:gridCol w:w="495"/>
              <w:gridCol w:w="1025"/>
              <w:gridCol w:w="236"/>
              <w:gridCol w:w="259"/>
              <w:gridCol w:w="512"/>
            </w:tblGrid>
            <w:tr>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空气能热水机</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工况范围</w:t>
                  </w:r>
                  <w:r>
                    <w:rPr>
                      <w:rFonts w:ascii="仿宋_GB2312" w:hAnsi="仿宋_GB2312" w:cs="仿宋_GB2312" w:eastAsia="仿宋_GB2312"/>
                      <w:sz w:val="21"/>
                      <w:color w:val="000000"/>
                    </w:rPr>
                    <w:t>;-25℃~45℃</w:t>
                  </w:r>
                  <w:r>
                    <w:br/>
                  </w:r>
                  <w:r>
                    <w:rPr>
                      <w:rFonts w:ascii="仿宋_GB2312" w:hAnsi="仿宋_GB2312" w:cs="仿宋_GB2312" w:eastAsia="仿宋_GB2312"/>
                      <w:sz w:val="21"/>
                      <w:color w:val="000000"/>
                    </w:rPr>
                    <w:t>，产水量（</w:t>
                  </w:r>
                  <w:r>
                    <w:rPr>
                      <w:rFonts w:ascii="仿宋_GB2312" w:hAnsi="仿宋_GB2312" w:cs="仿宋_GB2312" w:eastAsia="仿宋_GB2312"/>
                      <w:sz w:val="21"/>
                      <w:color w:val="000000"/>
                    </w:rPr>
                    <w:t>A:20/15℃）不低于3300L/h，干球温度-7℃</w:t>
                  </w:r>
                  <w:r>
                    <w:br/>
                  </w:r>
                  <w:r>
                    <w:rPr>
                      <w:rFonts w:ascii="仿宋_GB2312" w:hAnsi="仿宋_GB2312" w:cs="仿宋_GB2312" w:eastAsia="仿宋_GB2312"/>
                      <w:sz w:val="21"/>
                      <w:color w:val="000000"/>
                    </w:rPr>
                    <w:t>湿球温度</w:t>
                  </w:r>
                  <w:r>
                    <w:rPr>
                      <w:rFonts w:ascii="仿宋_GB2312" w:hAnsi="仿宋_GB2312" w:cs="仿宋_GB2312" w:eastAsia="仿宋_GB2312"/>
                      <w:sz w:val="21"/>
                      <w:color w:val="000000"/>
                    </w:rPr>
                    <w:t>-8℃</w:t>
                  </w:r>
                  <w:r>
                    <w:br/>
                  </w:r>
                  <w:r>
                    <w:rPr>
                      <w:rFonts w:ascii="仿宋_GB2312" w:hAnsi="仿宋_GB2312" w:cs="仿宋_GB2312" w:eastAsia="仿宋_GB2312"/>
                      <w:sz w:val="21"/>
                      <w:color w:val="000000"/>
                    </w:rPr>
                    <w:t>进水温度</w:t>
                  </w:r>
                  <w:r>
                    <w:rPr>
                      <w:rFonts w:ascii="仿宋_GB2312" w:hAnsi="仿宋_GB2312" w:cs="仿宋_GB2312" w:eastAsia="仿宋_GB2312"/>
                      <w:sz w:val="21"/>
                      <w:color w:val="000000"/>
                    </w:rPr>
                    <w:t>9℃</w:t>
                  </w:r>
                  <w:r>
                    <w:br/>
                  </w:r>
                  <w:r>
                    <w:rPr>
                      <w:rFonts w:ascii="仿宋_GB2312" w:hAnsi="仿宋_GB2312" w:cs="仿宋_GB2312" w:eastAsia="仿宋_GB2312"/>
                      <w:sz w:val="21"/>
                      <w:color w:val="000000"/>
                    </w:rPr>
                    <w:t>出水温度</w:t>
                  </w:r>
                  <w:r>
                    <w:rPr>
                      <w:rFonts w:ascii="仿宋_GB2312" w:hAnsi="仿宋_GB2312" w:cs="仿宋_GB2312" w:eastAsia="仿宋_GB2312"/>
                      <w:sz w:val="21"/>
                      <w:color w:val="000000"/>
                    </w:rPr>
                    <w:t>55℃，制热量不低于100kW;R410a环保冷媒</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&gt;</w:t>
                  </w:r>
                  <w:r>
                    <w:rPr>
                      <w:rFonts w:ascii="仿宋_GB2312" w:hAnsi="仿宋_GB2312" w:cs="仿宋_GB2312" w:eastAsia="仿宋_GB2312"/>
                      <w:sz w:val="21"/>
                      <w:color w:val="000000"/>
                    </w:rPr>
                    <w:t>2台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2台主机，保证一台出故障另一台也能正常工作。</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0吨不锈钢保温水箱</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5*2*3米，食品级304不锈钢板，底板2.5mm侧一2.5mm侧二2.0mm,侧三1.5mm,顶板1.2mm,聚氨酯发泡保温层厚度5CM，外皮0.5mm不锈钢板</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水处理设备</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3吨/小时</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循环水泵</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30m³/h 15米   3KW</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高区变频供水泵组</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20m³/h 166米  15KW</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中区变频供水泵组</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20m³/h 118米  11KW</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低区变频供水泵组</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20m³/h 94米   11KW</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无缝钢管</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DN89*4</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无缝钢管</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DN76*4</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无缝钢管</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DN50*3.75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法兰蝶阀</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DN65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单向阀</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DN65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法兰蝶阀</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DN100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单向阀</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DN100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法兰蝶阀</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法兰过滤器</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法兰单向阀</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软连接</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减压阀</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DN25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电源电缆铺设</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YJV 4*70+1*35平方毫米</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水泵电缆</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JHS 4*2.5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水泵电缆</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JHS 3*6+1*4</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桥架</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桥架</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保温</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难燃</w:t>
                  </w:r>
                  <w:r>
                    <w:rPr>
                      <w:rFonts w:ascii="仿宋_GB2312" w:hAnsi="仿宋_GB2312" w:cs="仿宋_GB2312" w:eastAsia="仿宋_GB2312"/>
                      <w:sz w:val="21"/>
                      <w:color w:val="000000"/>
                    </w:rPr>
                    <w:t>B1级,</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电源控制柜</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color w:val="000000"/>
              </w:rPr>
              <w:t>三</w:t>
            </w:r>
            <w:r>
              <w:rPr>
                <w:rFonts w:ascii="仿宋_GB2312" w:hAnsi="仿宋_GB2312" w:cs="仿宋_GB2312" w:eastAsia="仿宋_GB2312"/>
                <w:sz w:val="21"/>
                <w:color w:val="000000"/>
              </w:rPr>
              <w:t>、商务要求（如合同价款及结算方式等）</w:t>
            </w:r>
          </w:p>
          <w:p>
            <w:pPr>
              <w:pStyle w:val="null3"/>
              <w:spacing w:before="60"/>
              <w:ind w:right="105"/>
            </w:pPr>
            <w:r>
              <w:rPr>
                <w:rFonts w:ascii="仿宋_GB2312" w:hAnsi="仿宋_GB2312" w:cs="仿宋_GB2312" w:eastAsia="仿宋_GB2312"/>
                <w:sz w:val="21"/>
                <w:color w:val="000000"/>
              </w:rPr>
              <w:t>1、款项结算：</w:t>
            </w:r>
          </w:p>
          <w:p>
            <w:pPr>
              <w:pStyle w:val="null3"/>
              <w:spacing w:before="60"/>
              <w:ind w:right="105" w:firstLine="226"/>
            </w:pPr>
            <w:r>
              <w:rPr>
                <w:rFonts w:ascii="仿宋_GB2312" w:hAnsi="仿宋_GB2312" w:cs="仿宋_GB2312" w:eastAsia="仿宋_GB2312"/>
                <w:sz w:val="21"/>
              </w:rPr>
              <w:t>双方签订合同后，发包人支付签约合同价</w:t>
            </w:r>
            <w:r>
              <w:rPr>
                <w:rFonts w:ascii="仿宋_GB2312" w:hAnsi="仿宋_GB2312" w:cs="仿宋_GB2312" w:eastAsia="仿宋_GB2312"/>
                <w:sz w:val="21"/>
              </w:rPr>
              <w:t>30% 的预付款。工程全部完成并经发包人确认后，发包人支付合同价50%的进度款，待项目验收合格并竣工结算审核完成，发包人支付审定后的剩余全部结算价款。</w:t>
            </w:r>
          </w:p>
          <w:p>
            <w:pPr>
              <w:pStyle w:val="null3"/>
              <w:jc w:val="both"/>
            </w:pPr>
            <w:r>
              <w:rPr>
                <w:rFonts w:ascii="仿宋_GB2312" w:hAnsi="仿宋_GB2312" w:cs="仿宋_GB2312" w:eastAsia="仿宋_GB2312"/>
                <w:sz w:val="21"/>
              </w:rPr>
              <w:t>四、工期：</w:t>
            </w:r>
            <w:r>
              <w:rPr>
                <w:rFonts w:ascii="仿宋_GB2312" w:hAnsi="仿宋_GB2312" w:cs="仿宋_GB2312" w:eastAsia="仿宋_GB2312"/>
                <w:sz w:val="21"/>
              </w:rPr>
              <w:t>30日历天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1.营业执照、其他组织经营的合法凭证，自然人的提供身份证明文件； 2.财务状况证明：提供具有财务审计资质单位出具的2024年度或2025年度财务审计报告（成立时间至开标时间不足一年的可提供成立后任意时段的资产负债表）或开标前六个月内其基本账户银行出具的资信证明（附开户许可证或基本账户证明）或政府采购信用担保机构出具的投标担保函。 3.税收缴纳证明：提供投标截止日前一年内已缴纳的至少一个月的纳税证明或完税证明，依法免税的单位应提供相关证明材料 4.社会保障资金缴纳证明：提供投标截止日前一年内已缴存的至少一个月的社会保障资金缴存单据或社保机构开具的社会保险参保缴费情况证明，依法不需要缴纳社会保障资金的单位应提供相关证明材料；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5.提供具有履行本合同所必需的设备和专业技术能力的说明及承诺（格式自拟）；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投标人不得为“信用中国”网站（www.creditchina.gov.cn）中列入失信被执行人（页面跳转至“中国执行信息公开网”http://zxgk.court.gov.cn/shixin/）和重大税收违法案件当事人名单的投标人，不得为中国政府采购网（www.ccgp.gov.cn）政府采购严重违法失信行为记录名单中被财政部门禁止参加政府采购活动的投标人；（以开标现场资格审查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供应商具有建筑机电安装工程专业承包三级以上（含三级）资质，同时具有有效的安全生产许可证。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拟派项目经理须具有在本单位注册的机电工程专业二级及以上注册建造师证书和有效的安全生产考核合格证（B证），并提供无在建工程承诺和无不良记录承诺。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投标人及拟派项目经理查询截图</w:t>
            </w:r>
          </w:p>
        </w:tc>
        <w:tc>
          <w:tcPr>
            <w:tcW w:type="dxa" w:w="3322"/>
          </w:tcPr>
          <w:p>
            <w:pPr>
              <w:pStyle w:val="null3"/>
            </w:pPr>
            <w:r>
              <w:rPr>
                <w:rFonts w:ascii="仿宋_GB2312" w:hAnsi="仿宋_GB2312" w:cs="仿宋_GB2312" w:eastAsia="仿宋_GB2312"/>
              </w:rPr>
              <w:t>投标人及拟派项目经理在“陕西省住房和城乡建设厅（http://js.shaanxi.gov.cn）”或“全国建筑市场监管公共服务平台（https://jzsc.mohurd.gov.cn/home）”网站可查询；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控股关联关系</w:t>
            </w:r>
          </w:p>
        </w:tc>
        <w:tc>
          <w:tcPr>
            <w:tcW w:type="dxa" w:w="3322"/>
          </w:tcPr>
          <w:p>
            <w:pPr>
              <w:pStyle w:val="null3"/>
            </w:pPr>
            <w:r>
              <w:rPr>
                <w:rFonts w:ascii="仿宋_GB2312" w:hAnsi="仿宋_GB2312" w:cs="仿宋_GB2312" w:eastAsia="仿宋_GB2312"/>
              </w:rPr>
              <w:t>单位负责人为同一人或者存在控股、管理关系的不同投标人，不得参加本项目同一合同下的政府采购活动。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首次报价.docx 已标价工程量清单 已标价工程量清单.docx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首次报价.docx 已标价工程量清单 已标价工程量清单.docx 供应商应提交的相关资格证明材料.docx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响应文件封面 首次报价.docx 已标价工程量清单 已标价工程量清单.docx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响应函 技术标.docx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响应文件封面 首次报价.docx 已标价工程量清单 项目管理机构组成表 供应商类似项目业绩一览表 响应函 陕西省政府采购供应商拒绝政府采购领域商业贿赂承诺书.docx 主要人员简历表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首次报价.docx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首次报价.docx 供应商应提交的相关资格证明材料.docx 项目管理机构组成表 中小企业声明函 供应商类似项目业绩一览表 响应函 主要人员简历表 陕西省政府采购供应商拒绝政府采购领域商业贿赂承诺书.docx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①施工方案全面、合理，施工方法先进，可行性强，完全满足工程施工要求的得8分； ②施工方案全面、合理，施工方法较先进，有一定的可行性，能满足工程施工要求的得5分； ③施工方案存在部分不完整，施工方法针对本项目基本可行的得2分；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①工程质量的技术组织措施详尽、合理、可行性度高，得5分；②工程质量的技术组织措施基本完善、较为合理，得3分； ③工程质量的技术组织措施笼统简单，得1分；未提供不得分。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①措施完整全面，能够从多方面保证安全生产，且合理性、可行性强的得5分； ②措施基本完整全面，能从多个方面确保安全生产，基本合理、可行的得3分； ③措施不完整、全面，但有一定的可行性的得1分；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确保文明施工及环境保护措施</w:t>
            </w:r>
          </w:p>
        </w:tc>
        <w:tc>
          <w:tcPr>
            <w:tcW w:type="dxa" w:w="2492"/>
          </w:tcPr>
          <w:p>
            <w:pPr>
              <w:pStyle w:val="null3"/>
            </w:pPr>
            <w:r>
              <w:rPr>
                <w:rFonts w:ascii="仿宋_GB2312" w:hAnsi="仿宋_GB2312" w:cs="仿宋_GB2312" w:eastAsia="仿宋_GB2312"/>
              </w:rPr>
              <w:t>①措施全面、完整，能从多方面确保文明施工、考虑影响环境得因素，并提出相关解决和防治措施，实施度高、可落地性强，可确保达到环境保护的要求得5分； ②措施基本全面、完整，基本有一定的可行性，能基本满足文明施工、环境保护要求的得3分； ③措施存在较大不合理性、内容简单的得1分；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①措施全面、实施进度安排合理，可行性强，具有详细明确的实施进度计划表，能够确保工程如期保质完成的得5分；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施工机械设备和劳动力安排计划</w:t>
            </w:r>
          </w:p>
        </w:tc>
        <w:tc>
          <w:tcPr>
            <w:tcW w:type="dxa" w:w="2492"/>
          </w:tcPr>
          <w:p>
            <w:pPr>
              <w:pStyle w:val="null3"/>
            </w:pPr>
            <w:r>
              <w:rPr>
                <w:rFonts w:ascii="仿宋_GB2312" w:hAnsi="仿宋_GB2312" w:cs="仿宋_GB2312" w:eastAsia="仿宋_GB2312"/>
              </w:rPr>
              <w:t>①机械配备投入合且数量充足、投入计划紧贴项目进度，劳动力安排合理，可操作性强，能够确保项目如期保质完成的得5分； ②机械配备投入计划基本合理，基本与项目进度匹配，劳动力数量基本合理，计划表基本清晰、可行，能保证项目建设进度的得3分； ③机械配备投入数量存在部分不合理，与项目建设进度匹配度较差，劳动力数量存在部分不合理，计划表不清晰、可行性较差的得1分；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拟派施工组织和项目管理机构成员</w:t>
            </w:r>
          </w:p>
        </w:tc>
        <w:tc>
          <w:tcPr>
            <w:tcW w:type="dxa" w:w="2492"/>
          </w:tcPr>
          <w:p>
            <w:pPr>
              <w:pStyle w:val="null3"/>
            </w:pPr>
            <w:r>
              <w:rPr>
                <w:rFonts w:ascii="仿宋_GB2312" w:hAnsi="仿宋_GB2312" w:cs="仿宋_GB2312" w:eastAsia="仿宋_GB2312"/>
              </w:rPr>
              <w:t>①项目部组织结构、项目下设部门岗位职责合理，专业作业队配置齐全；合理、齐全得8分； ②项目部组织结构、项目下设部门岗位职责较为合理，专业作业队配置较为完善；部分合理得5分； ③项目部组织结构、项目下设部门岗位职责不合理，人员配置不完善得2分； 未提供的不得分。 备注：拟派施工项目管理机构成员：提供有效的身份证复印件、毕业证、供应商近半年内任意一个月社保缴纳证明以及其他能证明项目管理机构成员执业资格和能力的证书。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主材产品</w:t>
            </w:r>
          </w:p>
        </w:tc>
        <w:tc>
          <w:tcPr>
            <w:tcW w:type="dxa" w:w="2492"/>
          </w:tcPr>
          <w:p>
            <w:pPr>
              <w:pStyle w:val="null3"/>
            </w:pPr>
            <w:r>
              <w:rPr>
                <w:rFonts w:ascii="仿宋_GB2312" w:hAnsi="仿宋_GB2312" w:cs="仿宋_GB2312" w:eastAsia="仿宋_GB2312"/>
              </w:rPr>
              <w:t>①提供主材产品的质量证明材料及证明材料(包括但不限于有效期内所投产品的检测报告、产品官网截图、产品的认证证书等资料);主材品牌、规格、型号及生产厂家，明细且具有市场认知度;品牌、规格型号等内容明确且相关材料齐全者得:10分; ②缺少部分证明材料或相关材料明确程度一般者得7分; ③主材信息部分缺失或仅提供个别证明材料无法佐证所投产品:4分；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供应商提供2023年1月1日至今类似项目业绩，每提供一个有效业绩得2分，最高得10分。（业绩以合同复印件或扫描件为准，时间以合同签订时间为准）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①针对本项目拟派的项目负责人具备职称得3分，未提供不得分。 注：须提供合格有效的相关证书及供应商近半年内任意一个月为其缴纳社保的证明材料复印件并加盖公章，未提供不得分。 ②项目负责人具有丰富的工作经验，提供近三年（2023年1月1日至响应文件递交截止之日，以合同签订时间为准）的类似业绩，每提供一份得2分，最高2分。 注：以供应商加盖公章的合同复印件为准，合同中须体现项目负责人的姓名。项目负责人业绩与企业业绩可重复计算。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售后服务措施及保修承诺</w:t>
            </w:r>
          </w:p>
        </w:tc>
        <w:tc>
          <w:tcPr>
            <w:tcW w:type="dxa" w:w="2492"/>
          </w:tcPr>
          <w:p>
            <w:pPr>
              <w:pStyle w:val="null3"/>
            </w:pPr>
            <w:r>
              <w:rPr>
                <w:rFonts w:ascii="仿宋_GB2312" w:hAnsi="仿宋_GB2312" w:cs="仿宋_GB2312" w:eastAsia="仿宋_GB2312"/>
              </w:rPr>
              <w:t>针对本项目提供：售后服务配合承诺、承诺质保期内的保修内容及时效性服务承诺，提供承诺得2分，未提供不得分。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根据供应商提供的主要材料，符合政府采购强制采购政策的财政部、环境保护部发布的《节能产品政府采购清单》中标记的“强制采购节能产品”《环境标志产品政府采购清单》中标记的“环境标志产品，提供相关证明材料每提供1项计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首次报价.docx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详见附件：首次报价.docx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