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版本号：SNJZ-2026-11020260415001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科技与信息化项目综合业务系统维保项目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SNJZ-2026-110</w:t>
      </w:r>
      <w:r>
        <w:br/>
      </w:r>
      <w:r>
        <w:br/>
      </w:r>
      <w:r>
        <w:br/>
      </w:r>
    </w:p>
    <w:p>
      <w:pPr>
        <w:pStyle w:val="null3"/>
        <w:jc w:val="center"/>
        <w:outlineLvl w:val="2"/>
      </w:pPr>
      <w:r>
        <w:rPr>
          <w:rFonts w:ascii="仿宋_GB2312" w:hAnsi="仿宋_GB2312" w:cs="仿宋_GB2312" w:eastAsia="仿宋_GB2312"/>
          <w:sz w:val="28"/>
          <w:b/>
        </w:rPr>
        <w:t>陕西省市场监督管理局</w:t>
      </w:r>
    </w:p>
    <w:p>
      <w:pPr>
        <w:pStyle w:val="null3"/>
        <w:jc w:val="center"/>
        <w:outlineLvl w:val="2"/>
      </w:pPr>
      <w:r>
        <w:rPr>
          <w:rFonts w:ascii="仿宋_GB2312" w:hAnsi="仿宋_GB2312" w:cs="仿宋_GB2312" w:eastAsia="仿宋_GB2312"/>
          <w:sz w:val="28"/>
          <w:b/>
        </w:rPr>
        <w:t>陕西教育招标有限责任公司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陕西教育招标有限责任公司</w:t>
      </w:r>
      <w:r>
        <w:rPr>
          <w:rFonts w:ascii="仿宋_GB2312" w:hAnsi="仿宋_GB2312" w:cs="仿宋_GB2312" w:eastAsia="仿宋_GB2312"/>
        </w:rPr>
        <w:t>（以下简称“代理机构”）受</w:t>
      </w:r>
      <w:r>
        <w:rPr>
          <w:rFonts w:ascii="仿宋_GB2312" w:hAnsi="仿宋_GB2312" w:cs="仿宋_GB2312" w:eastAsia="仿宋_GB2312"/>
        </w:rPr>
        <w:t>陕西省市场监督管理局</w:t>
      </w:r>
      <w:r>
        <w:rPr>
          <w:rFonts w:ascii="仿宋_GB2312" w:hAnsi="仿宋_GB2312" w:cs="仿宋_GB2312" w:eastAsia="仿宋_GB2312"/>
        </w:rPr>
        <w:t>委托，拟对</w:t>
      </w:r>
      <w:r>
        <w:rPr>
          <w:rFonts w:ascii="仿宋_GB2312" w:hAnsi="仿宋_GB2312" w:cs="仿宋_GB2312" w:eastAsia="仿宋_GB2312"/>
        </w:rPr>
        <w:t>科技与信息化项目综合业务系统维保项目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SNJZ-2026-110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科技与信息化项目综合业务系统维保项目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科技与信息化项目综合业务系统维保</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采购包1（科技与信息化项目综合业务系统维保）：属于专门面向中小企业采购。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1、营业执照：具有独立承担民事责任能力的法人、其他组织或自然人，提供营业执照/事业单位法人证书/非企业专业服务机构执业许可证/自然人身份证。</w:t>
      </w:r>
    </w:p>
    <w:p>
      <w:pPr>
        <w:pStyle w:val="null3"/>
      </w:pPr>
      <w:r>
        <w:rPr>
          <w:rFonts w:ascii="仿宋_GB2312" w:hAnsi="仿宋_GB2312" w:cs="仿宋_GB2312" w:eastAsia="仿宋_GB2312"/>
        </w:rPr>
        <w:t>2、授权书：法定代表人参加磋商时，提供法定代表人证明书；授权代表参加磋商时，提供法定代表人授权书；非法人单位参照执行。</w:t>
      </w:r>
    </w:p>
    <w:p>
      <w:pPr>
        <w:pStyle w:val="null3"/>
      </w:pPr>
      <w:r>
        <w:rPr>
          <w:rFonts w:ascii="仿宋_GB2312" w:hAnsi="仿宋_GB2312" w:cs="仿宋_GB2312" w:eastAsia="仿宋_GB2312"/>
        </w:rPr>
        <w:t>3、财务状况报告：法人提供经审计的2024或2025年度的财务报告或磋商响应文件递交截止时间前一年内银行出具的资信证明；其他组织和自然人提供银行出具的资信证明或财务报表；或政府采购信用担保机构出具的《政府采购投标担保函》。</w:t>
      </w:r>
    </w:p>
    <w:p>
      <w:pPr>
        <w:pStyle w:val="null3"/>
      </w:pPr>
      <w:r>
        <w:rPr>
          <w:rFonts w:ascii="仿宋_GB2312" w:hAnsi="仿宋_GB2312" w:cs="仿宋_GB2312" w:eastAsia="仿宋_GB2312"/>
        </w:rPr>
        <w:t>4、税收缴纳证明：提供磋商响应文件递交截止时间近十二个月内至少一个月已缴纳的纳税凭据或完税证明；依法免税的供应商应提供相关文件证明。</w:t>
      </w:r>
    </w:p>
    <w:p>
      <w:pPr>
        <w:pStyle w:val="null3"/>
      </w:pPr>
      <w:r>
        <w:rPr>
          <w:rFonts w:ascii="仿宋_GB2312" w:hAnsi="仿宋_GB2312" w:cs="仿宋_GB2312" w:eastAsia="仿宋_GB2312"/>
        </w:rPr>
        <w:t>5、社会保障资金缴纳证明：提供磋商响应文件截止时间前十二个月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6、提供具有履行本合同所必需的设备和专业技术能力的承诺：提供具有履行本合同所必需的设备和专业技术能力的承诺</w:t>
      </w:r>
    </w:p>
    <w:p>
      <w:pPr>
        <w:pStyle w:val="null3"/>
      </w:pPr>
      <w:r>
        <w:rPr>
          <w:rFonts w:ascii="仿宋_GB2312" w:hAnsi="仿宋_GB2312" w:cs="仿宋_GB2312" w:eastAsia="仿宋_GB2312"/>
        </w:rPr>
        <w:t>7、无重大违法记录的书面声明：提供参加政府采购活动前三年内在经营活动中没有重大违法记录的书面声明。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陕西省市场监督管理局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西安市二环北路东段739号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汪老师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029-86138665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陕西教育招标有限责任公司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西安市太白南路181号西部电子社区A座B区401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马子啸、崔斌、王力、程钰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029-88224929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采购包1：577,290.00元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开户名称：陕西教育招标有限责任公司</w:t>
            </w:r>
          </w:p>
          <w:p>
            <w:pPr>
              <w:pStyle w:val="null3"/>
            </w:pPr>
            <w:r>
              <w:rPr>
                <w:rFonts w:ascii="仿宋_GB2312" w:hAnsi="仿宋_GB2312" w:cs="仿宋_GB2312" w:eastAsia="仿宋_GB2312"/>
              </w:rPr>
              <w:t>开户银行：浙商银行西安长安路支行</w:t>
            </w:r>
          </w:p>
          <w:p>
            <w:pPr>
              <w:pStyle w:val="null3"/>
            </w:pPr>
            <w:r>
              <w:rPr>
                <w:rFonts w:ascii="仿宋_GB2312" w:hAnsi="仿宋_GB2312" w:cs="仿宋_GB2312" w:eastAsia="仿宋_GB2312"/>
              </w:rPr>
              <w:t>银行账号：7910000410120100071552</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本采购项目成交价为基数，参照国家计委关于印发《招标代理服务收费管理暂行办法》的通知（计价格[2002]1980号）和发改办价格[2003]857号规定，由成交人在领取成交通知书时向代理机构缴纳代理服务费。招标代理服务费采用现金、电汇或银行转账方式交纳，不得采用磋商保证金抵扣。（开户名称：陕西教育招标有限责任公司、开户银行：中 国光大银行陕西自贸试验区西安唐延路支行、账号：78580188000058925、银行行号：303791000136，财务电话：029-88224928）。</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陕西省市场监督管理局</w:t>
      </w:r>
      <w:r>
        <w:rPr>
          <w:rFonts w:ascii="仿宋_GB2312" w:hAnsi="仿宋_GB2312" w:cs="仿宋_GB2312" w:eastAsia="仿宋_GB2312"/>
        </w:rPr>
        <w:t>和</w:t>
      </w:r>
      <w:r>
        <w:rPr>
          <w:rFonts w:ascii="仿宋_GB2312" w:hAnsi="仿宋_GB2312" w:cs="仿宋_GB2312" w:eastAsia="仿宋_GB2312"/>
        </w:rPr>
        <w:t>陕西教育招标有限责任公司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陕西省市场监督管理局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陕西教育招标有限责任公司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陕西省市场监督管理局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陕西教育招标有限责任公司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以采购文件及合同约定为准。验收依据：合同文本，磋商文件，磋商响应文件，国内相应标准、规范。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陕西教育招标有限责任公司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陕西教育招标有限责任公司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陕西教育招标有限责任公司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联系人：马子啸</w:t>
      </w:r>
    </w:p>
    <w:p>
      <w:pPr>
        <w:pStyle w:val="null3"/>
      </w:pPr>
      <w:r>
        <w:rPr>
          <w:rFonts w:ascii="仿宋_GB2312" w:hAnsi="仿宋_GB2312" w:cs="仿宋_GB2312" w:eastAsia="仿宋_GB2312"/>
        </w:rPr>
        <w:t>联系电话：029-88224929</w:t>
      </w:r>
    </w:p>
    <w:p>
      <w:pPr>
        <w:pStyle w:val="null3"/>
      </w:pPr>
      <w:r>
        <w:rPr>
          <w:rFonts w:ascii="仿宋_GB2312" w:hAnsi="仿宋_GB2312" w:cs="仿宋_GB2312" w:eastAsia="仿宋_GB2312"/>
        </w:rPr>
        <w:t>地址：西安市太白南路181号西部电子社区A座B区401</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科技与信息化项目综合业务系统维保项目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577,290.00</w:t>
      </w:r>
    </w:p>
    <w:p>
      <w:pPr>
        <w:pStyle w:val="null3"/>
      </w:pPr>
      <w:r>
        <w:rPr>
          <w:rFonts w:ascii="仿宋_GB2312" w:hAnsi="仿宋_GB2312" w:cs="仿宋_GB2312" w:eastAsia="仿宋_GB2312"/>
        </w:rPr>
        <w:t>采购包最高限价（元）: 577,290.00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陕西省市场监督管理局科技与信息化项目综合业务系统维保项目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577,290.00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标的名称：陕西省市场监督管理局科技与信息化项目综合业务系统维保项目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2"/>
              <w:jc w:val="both"/>
            </w:pPr>
            <w:r>
              <w:rPr>
                <w:rFonts w:ascii="仿宋_GB2312" w:hAnsi="仿宋_GB2312" w:cs="仿宋_GB2312" w:eastAsia="仿宋_GB2312"/>
                <w:sz w:val="21"/>
                <w:b/>
                <w:color w:val="000000"/>
              </w:rPr>
              <w:t>一、运维目标</w:t>
            </w:r>
          </w:p>
          <w:p>
            <w:pPr>
              <w:pStyle w:val="null3"/>
              <w:ind w:firstLine="422"/>
              <w:jc w:val="both"/>
            </w:pPr>
            <w:r>
              <w:rPr>
                <w:rFonts w:ascii="仿宋_GB2312" w:hAnsi="仿宋_GB2312" w:cs="仿宋_GB2312" w:eastAsia="仿宋_GB2312"/>
                <w:sz w:val="21"/>
                <w:color w:val="000000"/>
              </w:rPr>
              <w:t>陕西省市场监督管理局科技与信息化项目综合业务系统维保项目以</w:t>
            </w:r>
            <w:r>
              <w:rPr>
                <w:rFonts w:ascii="仿宋_GB2312" w:hAnsi="仿宋_GB2312" w:cs="仿宋_GB2312" w:eastAsia="仿宋_GB2312"/>
                <w:sz w:val="21"/>
                <w:color w:val="000000"/>
              </w:rPr>
              <w:t>“零故障”为服务目标，确保系统7*24小时稳定运行，且制定切实可行运维保障体系，一但系统出现故障，保证在最快的时间内排障。保障系统正常运行，不影响客户使用。</w:t>
            </w:r>
          </w:p>
          <w:p>
            <w:pPr>
              <w:pStyle w:val="null3"/>
              <w:ind w:firstLine="422"/>
              <w:jc w:val="both"/>
            </w:pPr>
            <w:r>
              <w:rPr>
                <w:rFonts w:ascii="仿宋_GB2312" w:hAnsi="仿宋_GB2312" w:cs="仿宋_GB2312" w:eastAsia="仿宋_GB2312"/>
                <w:sz w:val="21"/>
                <w:color w:val="000000"/>
              </w:rPr>
              <w:t>同时派驻现场运维人员，做好数据服务、培训等其他维护工作。</w:t>
            </w:r>
          </w:p>
          <w:p>
            <w:pPr>
              <w:pStyle w:val="null3"/>
              <w:ind w:firstLine="422"/>
              <w:jc w:val="both"/>
            </w:pPr>
            <w:r>
              <w:rPr>
                <w:rFonts w:ascii="仿宋_GB2312" w:hAnsi="仿宋_GB2312" w:cs="仿宋_GB2312" w:eastAsia="仿宋_GB2312"/>
                <w:sz w:val="21"/>
                <w:color w:val="000000"/>
              </w:rPr>
              <w:t>具体达到的目标如下：</w:t>
            </w:r>
          </w:p>
          <w:p>
            <w:pPr>
              <w:pStyle w:val="null3"/>
              <w:ind w:firstLine="422"/>
              <w:jc w:val="both"/>
            </w:pPr>
            <w:r>
              <w:rPr>
                <w:rFonts w:ascii="仿宋_GB2312" w:hAnsi="仿宋_GB2312" w:cs="仿宋_GB2312" w:eastAsia="仿宋_GB2312"/>
                <w:sz w:val="21"/>
                <w:color w:val="000000"/>
              </w:rPr>
              <w:t>1.系统可用性：99.99%</w:t>
            </w:r>
          </w:p>
          <w:p>
            <w:pPr>
              <w:pStyle w:val="null3"/>
              <w:ind w:firstLine="422"/>
              <w:jc w:val="both"/>
            </w:pPr>
            <w:r>
              <w:rPr>
                <w:rFonts w:ascii="仿宋_GB2312" w:hAnsi="仿宋_GB2312" w:cs="仿宋_GB2312" w:eastAsia="仿宋_GB2312"/>
                <w:sz w:val="21"/>
                <w:color w:val="000000"/>
              </w:rPr>
              <w:t>2.用户满意度：98%</w:t>
            </w:r>
          </w:p>
          <w:p>
            <w:pPr>
              <w:pStyle w:val="null3"/>
              <w:ind w:firstLine="422"/>
              <w:jc w:val="both"/>
            </w:pPr>
            <w:r>
              <w:rPr>
                <w:rFonts w:ascii="仿宋_GB2312" w:hAnsi="仿宋_GB2312" w:cs="仿宋_GB2312" w:eastAsia="仿宋_GB2312"/>
                <w:sz w:val="21"/>
                <w:color w:val="000000"/>
              </w:rPr>
              <w:t>3.无重大质量事故，无重大顾客投诉。</w:t>
            </w:r>
          </w:p>
          <w:p>
            <w:pPr>
              <w:pStyle w:val="null3"/>
              <w:ind w:firstLine="422"/>
              <w:jc w:val="both"/>
            </w:pPr>
            <w:r>
              <w:rPr>
                <w:rFonts w:ascii="仿宋_GB2312" w:hAnsi="仿宋_GB2312" w:cs="仿宋_GB2312" w:eastAsia="仿宋_GB2312"/>
                <w:sz w:val="21"/>
                <w:color w:val="000000"/>
              </w:rPr>
              <w:t>4.故障处理时间：见下表1-1</w:t>
            </w:r>
          </w:p>
          <w:p>
            <w:pPr>
              <w:pStyle w:val="null3"/>
              <w:ind w:firstLine="422"/>
              <w:jc w:val="both"/>
            </w:pPr>
            <w:r>
              <w:rPr>
                <w:rFonts w:ascii="仿宋_GB2312" w:hAnsi="仿宋_GB2312" w:cs="仿宋_GB2312" w:eastAsia="仿宋_GB2312"/>
                <w:sz w:val="21"/>
                <w:color w:val="000000"/>
              </w:rPr>
              <w:t>表</w:t>
            </w:r>
            <w:r>
              <w:rPr>
                <w:rFonts w:ascii="仿宋_GB2312" w:hAnsi="仿宋_GB2312" w:cs="仿宋_GB2312" w:eastAsia="仿宋_GB2312"/>
                <w:sz w:val="21"/>
                <w:color w:val="000000"/>
              </w:rPr>
              <w:t>1-1故障处理时间要求</w:t>
            </w:r>
          </w:p>
          <w:tbl>
            <w:tblPr>
              <w:tblBorders>
                <w:top w:val="none" w:color="000000" w:sz="4"/>
                <w:left w:val="none" w:color="000000" w:sz="4"/>
                <w:bottom w:val="none" w:color="000000" w:sz="4"/>
                <w:right w:val="none" w:color="000000" w:sz="4"/>
                <w:insideH w:val="none"/>
                <w:insideV w:val="none"/>
              </w:tblBorders>
            </w:tblPr>
            <w:tblGrid>
              <w:gridCol w:w="527"/>
              <w:gridCol w:w="534"/>
              <w:gridCol w:w="677"/>
              <w:gridCol w:w="808"/>
            </w:tblGrid>
            <w:tr>
              <w:tc>
                <w:tcPr>
                  <w:tcW w:type="dxa" w:w="5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故障级别</w:t>
                  </w:r>
                </w:p>
              </w:tc>
              <w:tc>
                <w:tcPr>
                  <w:tcW w:type="dxa" w:w="5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远程响应</w:t>
                  </w:r>
                </w:p>
              </w:tc>
              <w:tc>
                <w:tcPr>
                  <w:tcW w:type="dxa" w:w="6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现场响应</w:t>
                  </w:r>
                </w:p>
              </w:tc>
              <w:tc>
                <w:tcPr>
                  <w:tcW w:type="dxa" w:w="8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故障解决时间</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普通故障</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立即响应</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2小时内到现场</w:t>
                  </w: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到达现场后</w:t>
                  </w:r>
                  <w:r>
                    <w:rPr>
                      <w:rFonts w:ascii="仿宋_GB2312" w:hAnsi="仿宋_GB2312" w:cs="仿宋_GB2312" w:eastAsia="仿宋_GB2312"/>
                      <w:sz w:val="21"/>
                      <w:color w:val="000000"/>
                    </w:rPr>
                    <w:t>&lt;3小时</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重大故障</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立即响应</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1小时内到现场</w:t>
                  </w: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到达现场后</w:t>
                  </w:r>
                  <w:r>
                    <w:rPr>
                      <w:rFonts w:ascii="仿宋_GB2312" w:hAnsi="仿宋_GB2312" w:cs="仿宋_GB2312" w:eastAsia="仿宋_GB2312"/>
                      <w:sz w:val="21"/>
                      <w:color w:val="000000"/>
                    </w:rPr>
                    <w:t>&lt;2小时</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特大故障</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立即响应</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30分钟内到现场</w:t>
                  </w: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到达现场后</w:t>
                  </w:r>
                  <w:r>
                    <w:rPr>
                      <w:rFonts w:ascii="仿宋_GB2312" w:hAnsi="仿宋_GB2312" w:cs="仿宋_GB2312" w:eastAsia="仿宋_GB2312"/>
                      <w:sz w:val="21"/>
                      <w:color w:val="000000"/>
                    </w:rPr>
                    <w:t>&lt;1小时</w:t>
                  </w:r>
                </w:p>
              </w:tc>
            </w:tr>
          </w:tbl>
          <w:p>
            <w:pPr>
              <w:pStyle w:val="null3"/>
              <w:ind w:firstLine="422"/>
              <w:jc w:val="both"/>
            </w:pPr>
            <w:r>
              <w:rPr>
                <w:rFonts w:ascii="仿宋_GB2312" w:hAnsi="仿宋_GB2312" w:cs="仿宋_GB2312" w:eastAsia="仿宋_GB2312"/>
                <w:sz w:val="21"/>
                <w:b/>
                <w:color w:val="000000"/>
              </w:rPr>
              <w:t>二、运维范围及周期</w:t>
            </w:r>
          </w:p>
          <w:p>
            <w:pPr>
              <w:pStyle w:val="null3"/>
              <w:ind w:firstLine="422"/>
              <w:jc w:val="both"/>
            </w:pPr>
            <w:r>
              <w:rPr>
                <w:rFonts w:ascii="仿宋_GB2312" w:hAnsi="仿宋_GB2312" w:cs="仿宋_GB2312" w:eastAsia="仿宋_GB2312"/>
                <w:sz w:val="21"/>
                <w:b/>
                <w:color w:val="000000"/>
              </w:rPr>
              <w:t>2.1运维范围</w:t>
            </w:r>
          </w:p>
          <w:p>
            <w:pPr>
              <w:pStyle w:val="null3"/>
              <w:ind w:firstLine="422"/>
              <w:jc w:val="both"/>
            </w:pPr>
            <w:r>
              <w:rPr>
                <w:rFonts w:ascii="仿宋_GB2312" w:hAnsi="仿宋_GB2312" w:cs="仿宋_GB2312" w:eastAsia="仿宋_GB2312"/>
                <w:sz w:val="21"/>
                <w:b/>
                <w:color w:val="000000"/>
              </w:rPr>
              <w:t>2.1.1软件运维服务</w:t>
            </w:r>
          </w:p>
          <w:p>
            <w:pPr>
              <w:pStyle w:val="null3"/>
              <w:ind w:firstLine="422"/>
              <w:jc w:val="both"/>
            </w:pPr>
            <w:r>
              <w:rPr>
                <w:rFonts w:ascii="仿宋_GB2312" w:hAnsi="仿宋_GB2312" w:cs="仿宋_GB2312" w:eastAsia="仿宋_GB2312"/>
                <w:sz w:val="21"/>
                <w:color w:val="000000"/>
              </w:rPr>
              <w:t>对陕西省市场监督管理局科技与信息化项目综合业务系统提供的服务包括：操作系统软件、数据库软件、中间件、业务应用软件的运行监控、数据处理、定期巡检、故障处理、日常技术支持等服务。</w:t>
            </w:r>
          </w:p>
          <w:p>
            <w:pPr>
              <w:pStyle w:val="null3"/>
              <w:ind w:firstLine="422"/>
              <w:jc w:val="both"/>
            </w:pPr>
            <w:r>
              <w:rPr>
                <w:rFonts w:ascii="仿宋_GB2312" w:hAnsi="仿宋_GB2312" w:cs="仿宋_GB2312" w:eastAsia="仿宋_GB2312"/>
                <w:sz w:val="21"/>
                <w:b/>
                <w:color w:val="000000"/>
              </w:rPr>
              <w:t>2.1.2其他运维服务</w:t>
            </w:r>
          </w:p>
          <w:p>
            <w:pPr>
              <w:pStyle w:val="null3"/>
              <w:ind w:firstLine="422"/>
              <w:jc w:val="both"/>
            </w:pPr>
            <w:r>
              <w:rPr>
                <w:rFonts w:ascii="仿宋_GB2312" w:hAnsi="仿宋_GB2312" w:cs="仿宋_GB2312" w:eastAsia="仿宋_GB2312"/>
                <w:sz w:val="21"/>
                <w:color w:val="000000"/>
              </w:rPr>
              <w:t>派驻现场运维人员，做好数据服务、培训等其他维护工作。</w:t>
            </w:r>
          </w:p>
          <w:p>
            <w:pPr>
              <w:pStyle w:val="null3"/>
              <w:ind w:firstLine="422"/>
              <w:jc w:val="both"/>
            </w:pPr>
            <w:r>
              <w:rPr>
                <w:rFonts w:ascii="仿宋_GB2312" w:hAnsi="仿宋_GB2312" w:cs="仿宋_GB2312" w:eastAsia="仿宋_GB2312"/>
                <w:sz w:val="21"/>
                <w:b/>
                <w:color w:val="000000"/>
              </w:rPr>
              <w:t>2.2运维周期</w:t>
            </w:r>
          </w:p>
          <w:p>
            <w:pPr>
              <w:pStyle w:val="null3"/>
              <w:ind w:firstLine="422"/>
              <w:jc w:val="both"/>
            </w:pPr>
            <w:r>
              <w:rPr>
                <w:rFonts w:ascii="仿宋_GB2312" w:hAnsi="仿宋_GB2312" w:cs="仿宋_GB2312" w:eastAsia="仿宋_GB2312"/>
                <w:sz w:val="21"/>
                <w:color w:val="000000"/>
              </w:rPr>
              <w:t>2026年度。</w:t>
            </w:r>
          </w:p>
          <w:p>
            <w:pPr>
              <w:pStyle w:val="null3"/>
              <w:ind w:firstLine="422"/>
              <w:jc w:val="both"/>
            </w:pPr>
            <w:r>
              <w:rPr>
                <w:rFonts w:ascii="仿宋_GB2312" w:hAnsi="仿宋_GB2312" w:cs="仿宋_GB2312" w:eastAsia="仿宋_GB2312"/>
                <w:sz w:val="21"/>
                <w:b/>
                <w:color w:val="000000"/>
              </w:rPr>
              <w:t>三、软件运维内容及要求</w:t>
            </w:r>
          </w:p>
          <w:p>
            <w:pPr>
              <w:pStyle w:val="null3"/>
              <w:ind w:firstLine="422"/>
              <w:jc w:val="both"/>
            </w:pPr>
            <w:r>
              <w:rPr>
                <w:rFonts w:ascii="仿宋_GB2312" w:hAnsi="仿宋_GB2312" w:cs="仿宋_GB2312" w:eastAsia="仿宋_GB2312"/>
                <w:sz w:val="21"/>
                <w:b/>
                <w:color w:val="000000"/>
              </w:rPr>
              <w:t>3.1日常运维服务</w:t>
            </w:r>
          </w:p>
          <w:p>
            <w:pPr>
              <w:pStyle w:val="null3"/>
              <w:ind w:firstLine="422"/>
              <w:jc w:val="both"/>
            </w:pPr>
            <w:r>
              <w:rPr>
                <w:rFonts w:ascii="仿宋_GB2312" w:hAnsi="仿宋_GB2312" w:cs="仿宋_GB2312" w:eastAsia="仿宋_GB2312"/>
                <w:sz w:val="21"/>
                <w:b/>
                <w:color w:val="000000"/>
              </w:rPr>
              <w:t>3.1.1运维服务要求</w:t>
            </w:r>
          </w:p>
          <w:p>
            <w:pPr>
              <w:pStyle w:val="null3"/>
              <w:ind w:firstLine="422"/>
              <w:jc w:val="both"/>
            </w:pPr>
            <w:r>
              <w:rPr>
                <w:rFonts w:ascii="仿宋_GB2312" w:hAnsi="仿宋_GB2312" w:cs="仿宋_GB2312" w:eastAsia="仿宋_GB2312"/>
                <w:sz w:val="21"/>
                <w:color w:val="000000"/>
              </w:rPr>
              <w:t>服务商须按照陕西省市场监督管理局科技与信息化项目综合业务系统和网络安全相关规定，提供专业、规范的运维服务，确保系统</w:t>
            </w:r>
            <w:r>
              <w:rPr>
                <w:rFonts w:ascii="仿宋_GB2312" w:hAnsi="仿宋_GB2312" w:cs="仿宋_GB2312" w:eastAsia="仿宋_GB2312"/>
                <w:sz w:val="21"/>
                <w:color w:val="000000"/>
              </w:rPr>
              <w:t>7*24小时稳定运行；负责日常巡检、故障分级处理、数据备份与安全防护、系统升级；按时提交服务报告；配备专职驻场运维工程师1名，做好应急保障服务。</w:t>
            </w:r>
          </w:p>
          <w:p>
            <w:pPr>
              <w:pStyle w:val="null3"/>
              <w:ind w:firstLine="422"/>
              <w:jc w:val="both"/>
            </w:pPr>
            <w:r>
              <w:rPr>
                <w:rFonts w:ascii="仿宋_GB2312" w:hAnsi="仿宋_GB2312" w:cs="仿宋_GB2312" w:eastAsia="仿宋_GB2312"/>
                <w:sz w:val="21"/>
                <w:b/>
                <w:color w:val="000000"/>
              </w:rPr>
              <w:t>3.1.2运维服务内容</w:t>
            </w:r>
          </w:p>
          <w:p>
            <w:pPr>
              <w:pStyle w:val="null3"/>
              <w:ind w:firstLine="422"/>
              <w:jc w:val="both"/>
            </w:pPr>
            <w:r>
              <w:rPr>
                <w:rFonts w:ascii="仿宋_GB2312" w:hAnsi="仿宋_GB2312" w:cs="仿宋_GB2312" w:eastAsia="仿宋_GB2312"/>
                <w:sz w:val="21"/>
                <w:b/>
                <w:color w:val="000000"/>
              </w:rPr>
              <w:t>1.软件运维服务</w:t>
            </w:r>
          </w:p>
          <w:p>
            <w:pPr>
              <w:pStyle w:val="null3"/>
              <w:ind w:firstLine="422"/>
              <w:jc w:val="both"/>
            </w:pPr>
            <w:r>
              <w:rPr>
                <w:rFonts w:ascii="仿宋_GB2312" w:hAnsi="仿宋_GB2312" w:cs="仿宋_GB2312" w:eastAsia="仿宋_GB2312"/>
                <w:sz w:val="21"/>
                <w:color w:val="000000"/>
              </w:rPr>
              <w:t>对陕西省市场监督管理局科技与信息化项目综合业务系统提供的服务包括：操作系统软件、数据库软件、中间件、业务应用软件的运行监控、数据处理、定期巡检、故障处理、日常技术支持等服务。</w:t>
            </w:r>
          </w:p>
          <w:p>
            <w:pPr>
              <w:pStyle w:val="null3"/>
              <w:ind w:firstLine="422"/>
              <w:jc w:val="both"/>
            </w:pPr>
            <w:r>
              <w:rPr>
                <w:rFonts w:ascii="仿宋_GB2312" w:hAnsi="仿宋_GB2312" w:cs="仿宋_GB2312" w:eastAsia="仿宋_GB2312"/>
                <w:sz w:val="21"/>
                <w:b/>
                <w:color w:val="000000"/>
              </w:rPr>
              <w:t>2.其它运维服务</w:t>
            </w:r>
          </w:p>
          <w:p>
            <w:pPr>
              <w:pStyle w:val="null3"/>
              <w:ind w:firstLine="422"/>
              <w:jc w:val="both"/>
            </w:pPr>
            <w:r>
              <w:rPr>
                <w:rFonts w:ascii="仿宋_GB2312" w:hAnsi="仿宋_GB2312" w:cs="仿宋_GB2312" w:eastAsia="仿宋_GB2312"/>
                <w:sz w:val="21"/>
                <w:color w:val="000000"/>
              </w:rPr>
              <w:t>派驻现场运维人员，做好数据服务、培训等其他维护工作。</w:t>
            </w:r>
          </w:p>
          <w:p>
            <w:pPr>
              <w:pStyle w:val="null3"/>
              <w:ind w:firstLine="422"/>
              <w:jc w:val="both"/>
            </w:pPr>
            <w:r>
              <w:rPr>
                <w:rFonts w:ascii="仿宋_GB2312" w:hAnsi="仿宋_GB2312" w:cs="仿宋_GB2312" w:eastAsia="仿宋_GB2312"/>
                <w:sz w:val="21"/>
                <w:b/>
                <w:color w:val="000000"/>
              </w:rPr>
              <w:t>3.1.2.1技术咨询及技术支持服务</w:t>
            </w:r>
          </w:p>
          <w:p>
            <w:pPr>
              <w:pStyle w:val="null3"/>
              <w:ind w:firstLine="422"/>
              <w:jc w:val="both"/>
            </w:pPr>
            <w:r>
              <w:rPr>
                <w:rFonts w:ascii="仿宋_GB2312" w:hAnsi="仿宋_GB2312" w:cs="仿宋_GB2312" w:eastAsia="仿宋_GB2312"/>
                <w:sz w:val="21"/>
                <w:color w:val="000000"/>
              </w:rPr>
              <w:t>提供专业技术咨询与技术支持服务，及时解答系统使用、业务流程、技术实现等相关问题；通过现场、电话、线上远程等方式快速响应处置故障与操作疑问；协助开展操作指导、问题排查、优化建议，保障系统正常使用，服务规范高效、响应及时。</w:t>
            </w:r>
          </w:p>
          <w:p>
            <w:pPr>
              <w:pStyle w:val="null3"/>
              <w:ind w:firstLine="422"/>
              <w:jc w:val="both"/>
            </w:pPr>
            <w:r>
              <w:rPr>
                <w:rFonts w:ascii="仿宋_GB2312" w:hAnsi="仿宋_GB2312" w:cs="仿宋_GB2312" w:eastAsia="仿宋_GB2312"/>
                <w:sz w:val="21"/>
                <w:b/>
                <w:color w:val="000000"/>
              </w:rPr>
              <w:t>3.1.2.2日常巡检服务</w:t>
            </w:r>
          </w:p>
          <w:p>
            <w:pPr>
              <w:pStyle w:val="null3"/>
              <w:ind w:firstLine="422"/>
              <w:jc w:val="both"/>
            </w:pPr>
            <w:r>
              <w:rPr>
                <w:rFonts w:ascii="仿宋_GB2312" w:hAnsi="仿宋_GB2312" w:cs="仿宋_GB2312" w:eastAsia="仿宋_GB2312"/>
                <w:sz w:val="21"/>
                <w:color w:val="000000"/>
              </w:rPr>
              <w:t>对系统设备每年进行四次（</w:t>
            </w:r>
            <w:r>
              <w:rPr>
                <w:rFonts w:ascii="仿宋_GB2312" w:hAnsi="仿宋_GB2312" w:cs="仿宋_GB2312" w:eastAsia="仿宋_GB2312"/>
                <w:sz w:val="21"/>
                <w:color w:val="000000"/>
              </w:rPr>
              <w:t>3月、6月、9月、12月）巡检，并写出详细的巡检报告。</w:t>
            </w:r>
          </w:p>
          <w:p>
            <w:pPr>
              <w:pStyle w:val="null3"/>
              <w:ind w:firstLine="422"/>
              <w:jc w:val="both"/>
            </w:pPr>
            <w:r>
              <w:rPr>
                <w:rFonts w:ascii="仿宋_GB2312" w:hAnsi="仿宋_GB2312" w:cs="仿宋_GB2312" w:eastAsia="仿宋_GB2312"/>
                <w:sz w:val="21"/>
                <w:color w:val="000000"/>
              </w:rPr>
              <w:t>根据系统业务发展情况，制定系统扩容计划。</w:t>
            </w:r>
          </w:p>
          <w:p>
            <w:pPr>
              <w:pStyle w:val="null3"/>
              <w:ind w:firstLine="422"/>
              <w:jc w:val="both"/>
            </w:pPr>
            <w:r>
              <w:rPr>
                <w:rFonts w:ascii="仿宋_GB2312" w:hAnsi="仿宋_GB2312" w:cs="仿宋_GB2312" w:eastAsia="仿宋_GB2312"/>
                <w:sz w:val="21"/>
                <w:b/>
                <w:color w:val="000000"/>
              </w:rPr>
              <w:t>3.1.2.3培训服务</w:t>
            </w:r>
          </w:p>
          <w:p>
            <w:pPr>
              <w:pStyle w:val="null3"/>
              <w:ind w:firstLine="422"/>
              <w:jc w:val="both"/>
            </w:pPr>
            <w:r>
              <w:rPr>
                <w:rFonts w:ascii="仿宋_GB2312" w:hAnsi="仿宋_GB2312" w:cs="仿宋_GB2312" w:eastAsia="仿宋_GB2312"/>
                <w:sz w:val="21"/>
                <w:color w:val="000000"/>
              </w:rPr>
              <w:t>为了保障用户单位业务的正常运行，根据用户需求，开展系统使用规范和常见问题解答等培训服务，确保受训者能够熟练掌握系统使用操作与管理技能，提供完整培训资料并做好培训记录。</w:t>
            </w:r>
          </w:p>
          <w:p>
            <w:pPr>
              <w:pStyle w:val="null3"/>
              <w:ind w:firstLine="422"/>
              <w:jc w:val="both"/>
            </w:pPr>
            <w:r>
              <w:rPr>
                <w:rFonts w:ascii="仿宋_GB2312" w:hAnsi="仿宋_GB2312" w:cs="仿宋_GB2312" w:eastAsia="仿宋_GB2312"/>
                <w:sz w:val="21"/>
                <w:color w:val="000000"/>
              </w:rPr>
              <w:t>3.2数据处理服务</w:t>
            </w:r>
          </w:p>
          <w:p>
            <w:pPr>
              <w:pStyle w:val="null3"/>
              <w:ind w:firstLine="422"/>
              <w:jc w:val="both"/>
            </w:pPr>
            <w:r>
              <w:rPr>
                <w:rFonts w:ascii="仿宋_GB2312" w:hAnsi="仿宋_GB2312" w:cs="仿宋_GB2312" w:eastAsia="仿宋_GB2312"/>
                <w:sz w:val="21"/>
                <w:color w:val="000000"/>
              </w:rPr>
              <w:t>3.2.1整体设计</w:t>
            </w:r>
          </w:p>
          <w:p>
            <w:pPr>
              <w:pStyle w:val="null3"/>
              <w:ind w:firstLine="422"/>
              <w:jc w:val="both"/>
            </w:pPr>
            <w:r>
              <w:rPr>
                <w:rFonts w:ascii="仿宋_GB2312" w:hAnsi="仿宋_GB2312" w:cs="仿宋_GB2312" w:eastAsia="仿宋_GB2312"/>
                <w:sz w:val="21"/>
                <w:color w:val="000000"/>
              </w:rPr>
              <w:t>围绕数据服务目标，按照</w:t>
            </w:r>
            <w:r>
              <w:rPr>
                <w:rFonts w:ascii="仿宋_GB2312" w:hAnsi="仿宋_GB2312" w:cs="仿宋_GB2312" w:eastAsia="仿宋_GB2312"/>
                <w:sz w:val="21"/>
                <w:color w:val="000000"/>
              </w:rPr>
              <w:t>“以服务目录为基础，以闭环管理为核心，敏捷响应规范服务；以绩效目标为导向，保证服务质量进度”的思路，建立长效数据运营服务机制和服务体系。编制数据运营服务目录，定义服务项的服务内容、服务输出及输出物标准、使得服务在执行上能够标准统一和可重复。</w:t>
            </w:r>
          </w:p>
          <w:p>
            <w:pPr>
              <w:pStyle w:val="null3"/>
              <w:ind w:firstLine="422"/>
              <w:jc w:val="both"/>
            </w:pPr>
            <w:r>
              <w:rPr>
                <w:rFonts w:ascii="仿宋_GB2312" w:hAnsi="仿宋_GB2312" w:cs="仿宋_GB2312" w:eastAsia="仿宋_GB2312"/>
                <w:sz w:val="21"/>
                <w:color w:val="000000"/>
              </w:rPr>
              <w:t>以闭环管理为核心，敏捷响应规范服务。从服务工作方案制定、服务任务发起、过程实施及监控、服务验收考核四个方面实现运营闭环管理，针对所有服务任务的前端接收、执行转化、跟踪落实和成果输出的全过程进行闭环式管理。同时，快速响应数据运营服务的需求，根据任务类别细分不同的服务任务类型，制定具体的数据运营服务过程管理流程，规范运营服务。</w:t>
            </w:r>
          </w:p>
          <w:p>
            <w:pPr>
              <w:pStyle w:val="null3"/>
              <w:ind w:firstLine="422"/>
              <w:jc w:val="both"/>
            </w:pPr>
            <w:r>
              <w:rPr>
                <w:rFonts w:ascii="仿宋_GB2312" w:hAnsi="仿宋_GB2312" w:cs="仿宋_GB2312" w:eastAsia="仿宋_GB2312"/>
                <w:sz w:val="21"/>
                <w:color w:val="000000"/>
              </w:rPr>
              <w:t>设计统一数据服务接口，支持跨业务、跨数据库数据访问，提供</w:t>
            </w:r>
            <w:r>
              <w:rPr>
                <w:rFonts w:ascii="仿宋_GB2312" w:hAnsi="仿宋_GB2312" w:cs="仿宋_GB2312" w:eastAsia="仿宋_GB2312"/>
                <w:sz w:val="21"/>
                <w:color w:val="000000"/>
              </w:rPr>
              <w:t>API接口文档、数据集及资源接入白皮书，方便各部门调用，按数据分级权限进行访问控制，确保数据安全。同时，建立数据治理机制，保障数据的准确性、一致性、完整性和可用性，对数据进行清洗与预处理。此外，遵守法律法规，严格控制数据使用范围和期限，防止数据泄露。</w:t>
            </w:r>
          </w:p>
          <w:p>
            <w:pPr>
              <w:pStyle w:val="null3"/>
              <w:ind w:firstLine="422"/>
              <w:jc w:val="both"/>
            </w:pPr>
            <w:r>
              <w:rPr>
                <w:rFonts w:ascii="仿宋_GB2312" w:hAnsi="仿宋_GB2312" w:cs="仿宋_GB2312" w:eastAsia="仿宋_GB2312"/>
                <w:sz w:val="21"/>
                <w:b/>
                <w:color w:val="000000"/>
              </w:rPr>
              <w:t>3.2.2数据共享</w:t>
            </w:r>
          </w:p>
          <w:p>
            <w:pPr>
              <w:pStyle w:val="null3"/>
              <w:ind w:firstLine="42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1）API共享：通过API（应用程序接口）共享数据，API统一集成到共享平台，授权用户或组织可使用API访问和使用数据。</w:t>
            </w:r>
          </w:p>
          <w:p>
            <w:pPr>
              <w:pStyle w:val="null3"/>
              <w:ind w:firstLine="42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2）数据融合共享：将数据融合结果共享给有使用需求的组织或个人。</w:t>
            </w:r>
          </w:p>
          <w:p>
            <w:pPr>
              <w:pStyle w:val="null3"/>
              <w:ind w:firstLine="422"/>
              <w:jc w:val="both"/>
            </w:pPr>
            <w:r>
              <w:rPr>
                <w:rFonts w:ascii="仿宋_GB2312" w:hAnsi="仿宋_GB2312" w:cs="仿宋_GB2312" w:eastAsia="仿宋_GB2312"/>
                <w:sz w:val="21"/>
                <w:b/>
                <w:color w:val="000000"/>
              </w:rPr>
              <w:t>3.2.3数据维护</w:t>
            </w:r>
          </w:p>
          <w:p>
            <w:pPr>
              <w:pStyle w:val="null3"/>
              <w:ind w:firstLine="422"/>
              <w:jc w:val="both"/>
            </w:pPr>
            <w:r>
              <w:rPr>
                <w:rFonts w:ascii="仿宋_GB2312" w:hAnsi="仿宋_GB2312" w:cs="仿宋_GB2312" w:eastAsia="仿宋_GB2312"/>
                <w:sz w:val="21"/>
                <w:color w:val="000000"/>
              </w:rPr>
              <w:t>建立数据维护制度：制定数据维护制度，明确责任与流程，建立数据管理部门或团队全面管理和维护数据。</w:t>
            </w:r>
          </w:p>
          <w:p>
            <w:pPr>
              <w:pStyle w:val="null3"/>
              <w:ind w:firstLine="422"/>
              <w:jc w:val="both"/>
            </w:pPr>
            <w:r>
              <w:rPr>
                <w:rFonts w:ascii="仿宋_GB2312" w:hAnsi="仿宋_GB2312" w:cs="仿宋_GB2312" w:eastAsia="仿宋_GB2312"/>
                <w:sz w:val="21"/>
                <w:color w:val="000000"/>
              </w:rPr>
              <w:t>定期清洗更新数据：定期对数据清洗和更新，删除重复、错误或无效数据，更新已有数据的变更信息与最新状态。</w:t>
            </w:r>
          </w:p>
          <w:p>
            <w:pPr>
              <w:pStyle w:val="null3"/>
              <w:ind w:firstLine="422"/>
              <w:jc w:val="both"/>
            </w:pPr>
            <w:r>
              <w:rPr>
                <w:rFonts w:ascii="仿宋_GB2312" w:hAnsi="仿宋_GB2312" w:cs="仿宋_GB2312" w:eastAsia="仿宋_GB2312"/>
                <w:sz w:val="21"/>
                <w:color w:val="000000"/>
              </w:rPr>
              <w:t>定期进行数据备份和恢复：定期对数据进行备份防丢失损坏，故障或灾害时及时进行数据恢复。</w:t>
            </w:r>
          </w:p>
          <w:p>
            <w:pPr>
              <w:pStyle w:val="null3"/>
              <w:ind w:firstLine="422"/>
              <w:jc w:val="both"/>
            </w:pPr>
            <w:r>
              <w:rPr>
                <w:rFonts w:ascii="仿宋_GB2312" w:hAnsi="仿宋_GB2312" w:cs="仿宋_GB2312" w:eastAsia="仿宋_GB2312"/>
                <w:sz w:val="21"/>
                <w:color w:val="000000"/>
              </w:rPr>
              <w:t>实施数据安全措施：采取加密、权限控制、访问审计等措施确保数据的安全和保密。</w:t>
            </w:r>
          </w:p>
          <w:p>
            <w:pPr>
              <w:pStyle w:val="null3"/>
              <w:ind w:firstLine="422"/>
              <w:jc w:val="both"/>
            </w:pPr>
            <w:r>
              <w:rPr>
                <w:rFonts w:ascii="仿宋_GB2312" w:hAnsi="仿宋_GB2312" w:cs="仿宋_GB2312" w:eastAsia="仿宋_GB2312"/>
                <w:sz w:val="21"/>
                <w:color w:val="000000"/>
              </w:rPr>
              <w:t>采用数据质量管理工具：用工具检测监控数据质量，及时发现数据质量问题并进行处理。</w:t>
            </w:r>
          </w:p>
          <w:p>
            <w:pPr>
              <w:pStyle w:val="null3"/>
              <w:ind w:firstLine="422"/>
              <w:jc w:val="both"/>
            </w:pPr>
            <w:r>
              <w:rPr>
                <w:rFonts w:ascii="仿宋_GB2312" w:hAnsi="仿宋_GB2312" w:cs="仿宋_GB2312" w:eastAsia="仿宋_GB2312"/>
                <w:sz w:val="21"/>
                <w:color w:val="000000"/>
              </w:rPr>
              <w:t>持续更新数据标准和规范：定期对数据标准和规范进行更新和优化，适应业务与技术发展的变化。</w:t>
            </w:r>
          </w:p>
          <w:p>
            <w:pPr>
              <w:pStyle w:val="null3"/>
              <w:ind w:firstLine="422"/>
              <w:jc w:val="both"/>
            </w:pPr>
            <w:r>
              <w:rPr>
                <w:rFonts w:ascii="仿宋_GB2312" w:hAnsi="仿宋_GB2312" w:cs="仿宋_GB2312" w:eastAsia="仿宋_GB2312"/>
                <w:sz w:val="21"/>
                <w:b/>
                <w:color w:val="000000"/>
              </w:rPr>
              <w:t>3.2.4服务交付成果</w:t>
            </w:r>
          </w:p>
          <w:p>
            <w:pPr>
              <w:pStyle w:val="null3"/>
              <w:ind w:firstLine="422"/>
              <w:jc w:val="both"/>
            </w:pPr>
            <w:r>
              <w:rPr>
                <w:rFonts w:ascii="仿宋_GB2312" w:hAnsi="仿宋_GB2312" w:cs="仿宋_GB2312" w:eastAsia="仿宋_GB2312"/>
                <w:sz w:val="21"/>
                <w:color w:val="000000"/>
              </w:rPr>
              <w:t>针对数据集对外提供一组多种类型的接口服务，并根据不同用户角色的需求开展满足不同</w:t>
            </w:r>
            <w:r>
              <w:rPr>
                <w:rFonts w:ascii="仿宋_GB2312" w:hAnsi="仿宋_GB2312" w:cs="仿宋_GB2312" w:eastAsia="仿宋_GB2312"/>
                <w:sz w:val="21"/>
                <w:color w:val="000000"/>
              </w:rPr>
              <w:t>SLA的数据共享需求。一组多种类型的接口服务包括：样例数据接口、Json、Xml等。</w:t>
            </w:r>
          </w:p>
          <w:p>
            <w:pPr>
              <w:pStyle w:val="null3"/>
              <w:ind w:firstLine="422"/>
              <w:jc w:val="both"/>
            </w:pPr>
            <w:r>
              <w:rPr>
                <w:rFonts w:ascii="仿宋_GB2312" w:hAnsi="仿宋_GB2312" w:cs="仿宋_GB2312" w:eastAsia="仿宋_GB2312"/>
                <w:sz w:val="21"/>
                <w:b/>
                <w:color w:val="000000"/>
              </w:rPr>
              <w:t>四、实施要求</w:t>
            </w:r>
          </w:p>
          <w:p>
            <w:pPr>
              <w:pStyle w:val="null3"/>
              <w:ind w:firstLine="422"/>
              <w:jc w:val="both"/>
            </w:pPr>
            <w:r>
              <w:rPr>
                <w:rFonts w:ascii="仿宋_GB2312" w:hAnsi="仿宋_GB2312" w:cs="仿宋_GB2312" w:eastAsia="仿宋_GB2312"/>
                <w:sz w:val="21"/>
                <w:b/>
                <w:color w:val="000000"/>
              </w:rPr>
              <w:t>4.1日常运维服务人员组成及职责</w:t>
            </w:r>
          </w:p>
          <w:p>
            <w:pPr>
              <w:pStyle w:val="null3"/>
              <w:ind w:firstLine="422"/>
              <w:jc w:val="both"/>
            </w:pPr>
            <w:r>
              <w:rPr>
                <w:rFonts w:ascii="仿宋_GB2312" w:hAnsi="仿宋_GB2312" w:cs="仿宋_GB2312" w:eastAsia="仿宋_GB2312"/>
                <w:sz w:val="21"/>
                <w:color w:val="000000"/>
              </w:rPr>
              <w:t>组建与本维保项目相适应的项目团队，项目负责人</w:t>
            </w:r>
            <w:r>
              <w:rPr>
                <w:rFonts w:ascii="仿宋_GB2312" w:hAnsi="仿宋_GB2312" w:cs="仿宋_GB2312" w:eastAsia="仿宋_GB2312"/>
                <w:sz w:val="21"/>
                <w:color w:val="000000"/>
              </w:rPr>
              <w:t>1名统筹管理，驻场运维工程师1名负责日常运维，后台支撑2-3名提供远程技术支持，保障服务高效落地。</w:t>
            </w:r>
          </w:p>
          <w:p>
            <w:pPr>
              <w:pStyle w:val="null3"/>
              <w:ind w:firstLine="422"/>
              <w:jc w:val="both"/>
            </w:pPr>
            <w:r>
              <w:rPr>
                <w:rFonts w:ascii="仿宋_GB2312" w:hAnsi="仿宋_GB2312" w:cs="仿宋_GB2312" w:eastAsia="仿宋_GB2312"/>
                <w:sz w:val="21"/>
                <w:b/>
                <w:color w:val="000000"/>
              </w:rPr>
              <w:t>4.2运维连续性要求</w:t>
            </w:r>
          </w:p>
          <w:p>
            <w:pPr>
              <w:pStyle w:val="null3"/>
              <w:ind w:firstLine="422"/>
              <w:jc w:val="both"/>
            </w:pPr>
            <w:r>
              <w:rPr>
                <w:rFonts w:ascii="仿宋_GB2312" w:hAnsi="仿宋_GB2312" w:cs="仿宋_GB2312" w:eastAsia="仿宋_GB2312"/>
                <w:sz w:val="21"/>
                <w:color w:val="000000"/>
              </w:rPr>
              <w:t>运维服务应确保人员稳定、队伍固定，项目负责人及驻场人员原则上不得随意更换，确需调整须提前书面征得采购人同意，并做好完整工作交接。同时建立人员备份与应急接替机制，确保运维服务连续衔接、不中断、不降质，保障系统长期稳定运行。</w:t>
            </w:r>
          </w:p>
          <w:p>
            <w:pPr>
              <w:pStyle w:val="null3"/>
              <w:ind w:firstLine="422"/>
              <w:jc w:val="both"/>
            </w:pPr>
            <w:r>
              <w:rPr>
                <w:rFonts w:ascii="仿宋_GB2312" w:hAnsi="仿宋_GB2312" w:cs="仿宋_GB2312" w:eastAsia="仿宋_GB2312"/>
                <w:sz w:val="21"/>
                <w:b/>
                <w:color w:val="000000"/>
              </w:rPr>
              <w:t>4.3系统安全要求</w:t>
            </w:r>
          </w:p>
          <w:p>
            <w:pPr>
              <w:pStyle w:val="null3"/>
              <w:ind w:firstLine="422"/>
              <w:jc w:val="both"/>
            </w:pPr>
            <w:r>
              <w:rPr>
                <w:rFonts w:ascii="仿宋_GB2312" w:hAnsi="仿宋_GB2312" w:cs="仿宋_GB2312" w:eastAsia="仿宋_GB2312"/>
                <w:sz w:val="21"/>
                <w:b/>
                <w:color w:val="000000"/>
              </w:rPr>
              <w:t>4.3.1数据及应用安全</w:t>
            </w:r>
          </w:p>
          <w:p>
            <w:pPr>
              <w:pStyle w:val="null3"/>
              <w:ind w:firstLine="422"/>
              <w:jc w:val="both"/>
            </w:pPr>
            <w:r>
              <w:rPr>
                <w:rFonts w:ascii="仿宋_GB2312" w:hAnsi="仿宋_GB2312" w:cs="仿宋_GB2312" w:eastAsia="仿宋_GB2312"/>
                <w:sz w:val="21"/>
                <w:color w:val="000000"/>
              </w:rPr>
              <w:t>根据业务调整，做好系统数据维护，涵盖组织信息、人员情况、业务数据、科研项目信息等，保障数据安全。及时备份系统应用数据和业务数据库，做好容灾与安全保密，防止企业及政府数据泄露。对运维服务人员开展安全保密培训，减少数据泄露环节，保护科技与信息化申报管理相关数据安全。</w:t>
            </w:r>
          </w:p>
          <w:p>
            <w:pPr>
              <w:pStyle w:val="null3"/>
              <w:ind w:firstLine="422"/>
              <w:jc w:val="both"/>
            </w:pPr>
            <w:r>
              <w:rPr>
                <w:rFonts w:ascii="仿宋_GB2312" w:hAnsi="仿宋_GB2312" w:cs="仿宋_GB2312" w:eastAsia="仿宋_GB2312"/>
                <w:sz w:val="21"/>
                <w:color w:val="000000"/>
              </w:rPr>
              <w:t>建立健全系统安全保密制度，提升运维工作的风险防控能力。具体包括：一是保障数据安全与保密性，二是强化运维人员的安全保密意识培养。</w:t>
            </w:r>
          </w:p>
          <w:p>
            <w:pPr>
              <w:pStyle w:val="null3"/>
              <w:ind w:firstLine="422"/>
              <w:jc w:val="both"/>
            </w:pPr>
            <w:r>
              <w:rPr>
                <w:rFonts w:ascii="仿宋_GB2312" w:hAnsi="仿宋_GB2312" w:cs="仿宋_GB2312" w:eastAsia="仿宋_GB2312"/>
                <w:sz w:val="21"/>
                <w:color w:val="000000"/>
              </w:rPr>
              <w:t>风险评估与安全加固工作贯穿于信息系统的全生命周期各阶段。在运行维护阶段，需持续开展风险评估，以识别系统所面临的动态变化的风险与脆弱性，并通过实施安全加固措施，采取有效的安全干预，从而确保既定安全目标得以实现。</w:t>
            </w:r>
          </w:p>
          <w:p>
            <w:pPr>
              <w:pStyle w:val="null3"/>
              <w:ind w:firstLine="422"/>
              <w:jc w:val="both"/>
            </w:pPr>
            <w:r>
              <w:rPr>
                <w:rFonts w:ascii="仿宋_GB2312" w:hAnsi="仿宋_GB2312" w:cs="仿宋_GB2312" w:eastAsia="仿宋_GB2312"/>
                <w:sz w:val="21"/>
                <w:b/>
                <w:color w:val="000000"/>
              </w:rPr>
              <w:t>4.3.2容灾备份及恢复</w:t>
            </w:r>
          </w:p>
          <w:p>
            <w:pPr>
              <w:pStyle w:val="null3"/>
              <w:ind w:firstLine="422"/>
              <w:jc w:val="both"/>
            </w:pPr>
            <w:r>
              <w:rPr>
                <w:rFonts w:ascii="仿宋_GB2312" w:hAnsi="仿宋_GB2312" w:cs="仿宋_GB2312" w:eastAsia="仿宋_GB2312"/>
                <w:sz w:val="21"/>
                <w:color w:val="000000"/>
              </w:rPr>
              <w:t>系统数据需实时进行本地和异地备份容灾，确保意外发生时业务系统不受影响；敏感数据采用加密技术，降低核心敏感信息泄露风险。</w:t>
            </w:r>
          </w:p>
          <w:p>
            <w:pPr>
              <w:pStyle w:val="null3"/>
              <w:ind w:firstLine="422"/>
              <w:jc w:val="both"/>
            </w:pPr>
            <w:r>
              <w:rPr>
                <w:rFonts w:ascii="仿宋_GB2312" w:hAnsi="仿宋_GB2312" w:cs="仿宋_GB2312" w:eastAsia="仿宋_GB2312"/>
                <w:sz w:val="21"/>
                <w:color w:val="000000"/>
              </w:rPr>
              <w:t>系统容灾备份工作需涵盖数据库、代码库、文件库及过程资产等多个层面，并应建立完善的容灾机制与责任体系。须定期检验备份文件的可恢复性与完整性，同时按计划组织容灾恢复演练，以确保系统容灾措施得到切实执行。</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满足“技术参数与性能指标”的需求。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满足“技术参数与性能指标”的需求。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2026年度</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以采购文件及合同约定为准。验收依据：合同文本，磋商文件，磋商响应文件，国内相应标准、规范。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90.00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项目到期并验收合格后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 按《中华人民共和国民法典》及有关法律 法规中的相关条款对违约情况进行处理；(2)未按合同要求提供服务或服务质量不能满足要求，采购人会同相关单位有权终止合同，并对违约方的违约行为进行追究，同时按有关法规进行相应的处罚。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具有独立承担民事责任能力的法人、其他组织或自然人，提供营业执照/事业单位法人证书/非企业专业服务机构执业许可证/自然人身份证。</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法定代表人参加磋商时，提供法定代表人证明书；授权代表参加磋商时，提供法定代表人授权书；非法人单位参照执行。</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法人提供经审计的2024或2025年度的财务报告或磋商响应文件递交截止时间前一年内银行出具的资信证明；其他组织和自然人提供银行出具的资信证明或财务报表；或政府采购信用担保机构出具的《政府采购投标担保函》。</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提供磋商响应文件递交截止时间近十二个月内至少一个月已缴纳的纳税凭据或完税证明；依法免税的供应商应提供相关文件证明。</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提供磋商响应文件截止时间前十二个月内已缴存的至少一个月的社会保障资金缴存单据或社保机构开具的社会保险参保缴费情况证明，依法不需要缴纳社会保障资金的单位应提供相关证明材料。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提供具有履行本合同所必需的设备和专业技术能力的承诺</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满足政府采购法第二十二条证明材料.docx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注：依据《关于推动解决政府采购异常低价问题的通知》（财库〔2026〕2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报价不得超过公布的采购预算或最高限价</w:t>
            </w:r>
          </w:p>
        </w:tc>
        <w:tc>
          <w:tcPr>
            <w:tcW w:type="dxa" w:w="3322"/>
          </w:tcPr>
          <w:p>
            <w:pPr>
              <w:pStyle w:val="null3"/>
            </w:pPr>
            <w:r>
              <w:rPr>
                <w:rFonts w:ascii="仿宋_GB2312" w:hAnsi="仿宋_GB2312" w:cs="仿宋_GB2312" w:eastAsia="仿宋_GB2312"/>
              </w:rPr>
              <w:t>报价不得超过公布的采购预算或最高限价，否则响应文件作为无效处理。</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磋商有效期是否满足竞争性磋商文件要求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商务响应情况</w:t>
            </w:r>
          </w:p>
        </w:tc>
        <w:tc>
          <w:tcPr>
            <w:tcW w:type="dxa" w:w="3322"/>
          </w:tcPr>
          <w:p>
            <w:pPr>
              <w:pStyle w:val="null3"/>
            </w:pPr>
            <w:r>
              <w:rPr>
                <w:rFonts w:ascii="仿宋_GB2312" w:hAnsi="仿宋_GB2312" w:cs="仿宋_GB2312" w:eastAsia="仿宋_GB2312"/>
              </w:rPr>
              <w:t>商务响应情况，若负偏离，响应文件作为无效处理。</w:t>
            </w:r>
          </w:p>
        </w:tc>
        <w:tc>
          <w:tcPr>
            <w:tcW w:type="dxa" w:w="1661"/>
          </w:tcPr>
          <w:p>
            <w:pPr>
              <w:pStyle w:val="null3"/>
            </w:pPr>
            <w:r>
              <w:rPr>
                <w:rFonts w:ascii="仿宋_GB2312" w:hAnsi="仿宋_GB2312" w:cs="仿宋_GB2312" w:eastAsia="仿宋_GB2312"/>
              </w:rPr>
              <w:t>商务条款响应偏离表.docx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其他实质性条款</w:t>
            </w:r>
          </w:p>
        </w:tc>
        <w:tc>
          <w:tcPr>
            <w:tcW w:type="dxa" w:w="3322"/>
          </w:tcPr>
          <w:p>
            <w:pPr>
              <w:pStyle w:val="null3"/>
            </w:pPr>
            <w:r>
              <w:rPr>
                <w:rFonts w:ascii="仿宋_GB2312" w:hAnsi="仿宋_GB2312" w:cs="仿宋_GB2312" w:eastAsia="仿宋_GB2312"/>
              </w:rPr>
              <w:t>出现不符合法律、法规和竞争性磋商文件中规定的其他实质性要求的情况，响应文件作为无效处理。</w:t>
            </w:r>
          </w:p>
        </w:tc>
        <w:tc>
          <w:tcPr>
            <w:tcW w:type="dxa" w:w="1661"/>
          </w:tcPr>
          <w:p>
            <w:pPr>
              <w:pStyle w:val="null3"/>
            </w:pPr>
            <w:r>
              <w:rPr>
                <w:rFonts w:ascii="仿宋_GB2312" w:hAnsi="仿宋_GB2312" w:cs="仿宋_GB2312" w:eastAsia="仿宋_GB2312"/>
              </w:rPr>
              <w:t>响应文件封面 服务内容及服务邀请应答表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一、评审内容 对本项目系统理解，内容包括：①系统理解②系统架构③系统业务流程④重难点分析。 二、评审标准 1、完整性：方案必须全面，对评审内容中的各项要求有详细描述； 2、可实施性：切合本项目实际情况，提出步骤清晰、合理的方案； 3、针对性：方案能够紧扣项目实际情况，内容科学合理。 三、赋分标准（满分12分） 四项评审内容针对3项评审标准，每一个评审标准完全满足得1分，每一个评审标准不完全满足得0.5分，每一个评审标准完全不满足得0分。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日常运维</w:t>
            </w:r>
          </w:p>
        </w:tc>
        <w:tc>
          <w:tcPr>
            <w:tcW w:type="dxa" w:w="2492"/>
          </w:tcPr>
          <w:p>
            <w:pPr>
              <w:pStyle w:val="null3"/>
            </w:pPr>
            <w:r>
              <w:rPr>
                <w:rFonts w:ascii="仿宋_GB2312" w:hAnsi="仿宋_GB2312" w:cs="仿宋_GB2312" w:eastAsia="仿宋_GB2312"/>
              </w:rPr>
              <w:t>一、评审内容 对本项目提供的日常运维方案，内容包括：①维保计划②维保目标及标准③技术咨询与支持④日常巡检。 二、评审标准 1、完整性：方案必须全面，对评审内容中的各项要求有详细描述； 2、可实施性：切合本项目实际情况，提出步骤清晰、合理的方案； 3、针对性：方案能够紧扣项目实际情况，内容科学合理。 三、赋分标准（满分12分） 四项评审内容针对3项评审标准，每一个评审标准完全满足得1分，每一个评审标准不完全满足得0.5分，每一个评审标准完全不满足得0分。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业绩证明材料.docx</w:t>
            </w:r>
          </w:p>
        </w:tc>
      </w:tr>
      <w:tr>
        <w:tc>
          <w:tcPr>
            <w:tcW w:type="dxa" w:w="831"/>
            <w:vMerge/>
          </w:tcPr>
          <w:p/>
        </w:tc>
        <w:tc>
          <w:tcPr>
            <w:tcW w:type="dxa" w:w="1661"/>
          </w:tcPr>
          <w:p>
            <w:pPr>
              <w:pStyle w:val="null3"/>
            </w:pPr>
            <w:r>
              <w:rPr>
                <w:rFonts w:ascii="仿宋_GB2312" w:hAnsi="仿宋_GB2312" w:cs="仿宋_GB2312" w:eastAsia="仿宋_GB2312"/>
              </w:rPr>
              <w:t>数据处理</w:t>
            </w:r>
          </w:p>
        </w:tc>
        <w:tc>
          <w:tcPr>
            <w:tcW w:type="dxa" w:w="2492"/>
          </w:tcPr>
          <w:p>
            <w:pPr>
              <w:pStyle w:val="null3"/>
            </w:pPr>
            <w:r>
              <w:rPr>
                <w:rFonts w:ascii="仿宋_GB2312" w:hAnsi="仿宋_GB2312" w:cs="仿宋_GB2312" w:eastAsia="仿宋_GB2312"/>
              </w:rPr>
              <w:t>一、评审内容 对本项目提供的数据处理服务方案，内容包括：①数据处理服务设计②数据共享③数据维护④成果交付。 二、评审标准 1、完整性：方案必须全面，对评审内容中的各项要求有详细描述； 2、可实施性：切合本项目实际情况，提出步骤清晰、合理的方案； 3、针对性：方案能够紧扣项目实际情况，内容科学合理。 三、赋分标准（满分12分） 四项评审内容针对3项评审标准，每一个评审标准完全满足得1分，每一个评审标准不完全满足得0.5分，每一个评审标准完全不满足得0分。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系统安全</w:t>
            </w:r>
          </w:p>
        </w:tc>
        <w:tc>
          <w:tcPr>
            <w:tcW w:type="dxa" w:w="2492"/>
          </w:tcPr>
          <w:p>
            <w:pPr>
              <w:pStyle w:val="null3"/>
            </w:pPr>
            <w:r>
              <w:rPr>
                <w:rFonts w:ascii="仿宋_GB2312" w:hAnsi="仿宋_GB2312" w:cs="仿宋_GB2312" w:eastAsia="仿宋_GB2312"/>
              </w:rPr>
              <w:t>一、评审内容 对本项目提供的系统安全保障方案，内容包括：①数据及应用安全②容灾备份及恢复③安全风险评估④数据安全技术措施。 二、评审标准 1、完整性：方案必须全面，对评审内容中的各项要求有详细描述； 2、可实施性：切合本项目实际情况，提出步骤清晰、合理的方案； 3、针对性：方案能够紧扣项目实际情况，内容科学合理。 三、赋分标准（满分12分） 四项评审内容针对3项评审标准，每一个评审标准完全满足得1分，每一个评审标准不完全满足得0.5分，每一个评审标准完全不满足得0分。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一、评审内容 对本项目提供质量保障体系，内容包括：①质量目标与标准②质量管理制度③质量监控机制④预防和改进措施。 二、评审标准 1、完整性：方案必须全面，对评审内容中的各项要求有详细描述； 2、可实施性：切合本项目实际情况，提出步骤清晰、合理的方案； 3、针对性：方案能够紧扣项目实际情况，内容科学合理。 三、赋分标准（满分6分） 四项评审内容针对3项评审标准，每一个评审标准完全满足得0.5分，每一个评审标准不完全满足得0.25分，每一个评审标准完全不满足得0分。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1.项目组人员（包含项目负责人）具备计算机技术与软件专业技术资格相关专业中级及以上职称证书，1个证书得1分，满分3分。提供人员的证书复印件、社保证明（或劳动合同）复印件。 2.项目组人员配置合理，满分5分。 一、评审内容 针对本项目特点提供人员配置方案，内容包括：①人员配置、岗位职责及分工②人员学历及所学专业背景③人员技术能力及相关证明材料④人员相关从业经验。 二、评审标准 1、完整性：方案必须全面，对评审内容中的各项要求有详细描述； 2、可实施性：切合本项目实际情况，提出步骤清晰、合理的方案； 3、针对性：方案能够紧扣项目实际情况，内容科学合理。 三、赋分标准（满分5分） ①②③项评审内容针对3项评审标准，每一个评审标准完全满足得0.5分，每一个评审标准不完全满足得0.25分，每一个评审标准完全不满足得0分，满分4.5分；④人员相关从业经验:所有配备的人员具备相关从业经验得0.5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对本项目提供应急预案，内容包括：①应急响应②解决措施③预防预警措施④应急演练机制。 二、评审标准 1、完整性：方案必须全面，对评审内容中的各项要求有详细描述； 2、可实施性：切合本项目实际情况，提出步骤清晰、合理的方案； 3、针对性：方案能够紧扣项目实际情况，内容科学合理。 三、赋分标准（满分6分） 四项评审内容针对3项评审标准，每一个评审标准完全满足得0.5分，每一个评审标准不完全满足得0.25分，每一个评审标准完全不满足得0分。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对本项目提供培训方案，内容包括：①所具备的培训资源及师资力量②培训课程及服务安排③培训的设备设施④考核措施。 二、评审标准 1、完整性：方案必须全面，对评审内容中的各项要求有详细描述； 2、可实施性：切合本项目实际情况，提出步骤清晰、合理的方案； 3、针对性：方案能够紧扣项目实际情况，内容科学合理。 三、赋分标准（满分6分） 四项评审内容针对3项评审标准，每一个评审标准完全满足得0.5分，每一个评审标准不完全满足得0.25分，每一个评审标准完全不满足得0分。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对本项目提供服务承诺，内容包括：①运营服务承诺②服务跟踪计划③技术支持及咨询服务④增值服务。 二、评审标准 1、完整性：方案必须全面，对评审内容中的各项要求有详细描述； 2、可实施性：切合本项目实际情况，提出步骤清晰、合理的方案； 3、针对性：方案能够紧扣项目实际情况，内容科学合理。 三、赋分标准（满分6分） 四项评审内容针对3项评审标准，每一个评审标准完全满足得0.5分，每一个评审标准不完全满足得0.25分，每一个评审标准完全不满足得0分。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供应商提供2023年1月1日至今同类业绩：提供一项得2分，最多得10分（以合同复印件加盖公章为准，合同至少体现项目建设内容、双方签字盖章页及签订日期，否则不得分）。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分值计算方法：P=10×Pmin/ Pn 其中：Pmin：所有有效磋商的最终最低报价。 Pn：第n个供应商的最终报价。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详见附件：商务条款响应偏离表.docx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详见附件：满足政府采购法第二十二条证明材料.docx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详见附件：业绩证明材料.docx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