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9E3EE">
      <w:pPr>
        <w:pStyle w:val="6"/>
        <w:spacing w:before="110" w:line="222" w:lineRule="auto"/>
        <w:jc w:val="center"/>
        <w:rPr>
          <w:rFonts w:hint="eastAsia" w:cs="方正小标宋简体"/>
          <w:b/>
          <w:bCs/>
          <w:color w:val="000000"/>
          <w:sz w:val="36"/>
          <w:szCs w:val="36"/>
        </w:rPr>
      </w:pPr>
      <w:r>
        <w:rPr>
          <w:rFonts w:hint="eastAsia" w:ascii="微软雅黑" w:hAnsi="微软雅黑" w:eastAsia="微软雅黑" w:cs="黑体"/>
          <w:b/>
          <w:bCs w:val="0"/>
          <w:color w:val="000000"/>
          <w:kern w:val="2"/>
          <w:sz w:val="44"/>
          <w:szCs w:val="44"/>
          <w:lang w:val="en-US" w:eastAsia="zh-CN" w:bidi="ar-SA"/>
        </w:rPr>
        <w:t>合同范本(仅供参考)</w:t>
      </w:r>
    </w:p>
    <w:p w14:paraId="7A99DC8C">
      <w:pPr>
        <w:spacing w:line="600" w:lineRule="exact"/>
        <w:jc w:val="center"/>
        <w:rPr>
          <w:rFonts w:cs="方正小标宋简体"/>
          <w:b/>
          <w:bCs/>
          <w:color w:val="000000"/>
          <w:sz w:val="36"/>
          <w:szCs w:val="36"/>
        </w:rPr>
      </w:pPr>
      <w:r>
        <w:rPr>
          <w:rFonts w:hint="eastAsia" w:cs="方正小标宋简体"/>
          <w:b/>
          <w:bCs/>
          <w:color w:val="000000"/>
          <w:sz w:val="36"/>
          <w:szCs w:val="36"/>
        </w:rPr>
        <w:t>陕西省人事考试中心</w:t>
      </w:r>
    </w:p>
    <w:p w14:paraId="2D5FCA8E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36"/>
          <w:szCs w:val="36"/>
        </w:rPr>
      </w:pPr>
      <w:r>
        <w:rPr>
          <w:rFonts w:hint="eastAsia" w:cs="方正小标宋简体"/>
          <w:b/>
          <w:bCs/>
          <w:color w:val="000000"/>
          <w:sz w:val="36"/>
          <w:szCs w:val="36"/>
        </w:rPr>
        <w:t>考试考场信号屏蔽和安检技术服务项目</w:t>
      </w:r>
      <w:r>
        <w:rPr>
          <w:rFonts w:hint="eastAsia" w:cs="方正小标宋简体"/>
          <w:b/>
          <w:bCs/>
          <w:color w:val="000000"/>
          <w:sz w:val="36"/>
          <w:szCs w:val="36"/>
          <w:lang w:eastAsia="zh-CN"/>
        </w:rPr>
        <w:t>（</w:t>
      </w:r>
      <w:r>
        <w:rPr>
          <w:rFonts w:hint="eastAsia" w:cs="方正小标宋简体"/>
          <w:b/>
          <w:bCs/>
          <w:color w:val="000000"/>
          <w:sz w:val="36"/>
          <w:szCs w:val="36"/>
          <w:lang w:val="en-US" w:eastAsia="zh-CN"/>
        </w:rPr>
        <w:t>包号</w:t>
      </w:r>
      <w:r>
        <w:rPr>
          <w:rFonts w:hint="eastAsia" w:cs="方正小标宋简体"/>
          <w:b/>
          <w:bCs/>
          <w:color w:val="000000"/>
          <w:sz w:val="36"/>
          <w:szCs w:val="36"/>
          <w:lang w:eastAsia="zh-CN"/>
        </w:rPr>
        <w:t>）</w:t>
      </w:r>
      <w:r>
        <w:rPr>
          <w:rFonts w:hint="eastAsia" w:cs="方正小标宋简体"/>
          <w:b/>
          <w:bCs/>
          <w:color w:val="000000"/>
          <w:sz w:val="36"/>
          <w:szCs w:val="36"/>
        </w:rPr>
        <w:t>服务合同</w:t>
      </w:r>
    </w:p>
    <w:p w14:paraId="66CF5A37">
      <w:pPr>
        <w:spacing w:line="600" w:lineRule="exact"/>
        <w:rPr>
          <w:color w:val="000000"/>
        </w:rPr>
      </w:pPr>
      <w:bookmarkStart w:id="0" w:name="_GoBack"/>
      <w:bookmarkEnd w:id="0"/>
    </w:p>
    <w:p w14:paraId="7DB2AD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cs="仿宋_GB2312"/>
        </w:rPr>
      </w:pPr>
      <w:r>
        <w:rPr>
          <w:rFonts w:hint="eastAsia" w:cs="仿宋_GB2312"/>
        </w:rPr>
        <w:t>甲方：陕西省人事考试中心</w:t>
      </w:r>
    </w:p>
    <w:p w14:paraId="3AF722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cs="仿宋_GB2312"/>
          <w:b/>
        </w:rPr>
      </w:pPr>
      <w:r>
        <w:rPr>
          <w:rFonts w:hint="eastAsia" w:cs="仿宋_GB2312"/>
        </w:rPr>
        <w:t>乙方：</w:t>
      </w:r>
    </w:p>
    <w:p w14:paraId="09C6C6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</w:rPr>
      </w:pPr>
      <w:r>
        <w:rPr>
          <w:rFonts w:cs="Times New Roman"/>
        </w:rPr>
        <w:t>甲乙双方根据《中华人民共和国</w:t>
      </w:r>
      <w:r>
        <w:rPr>
          <w:rFonts w:hint="eastAsia" w:cs="Times New Roman"/>
        </w:rPr>
        <w:t>民法典</w:t>
      </w:r>
      <w:r>
        <w:rPr>
          <w:rFonts w:cs="Times New Roman"/>
        </w:rPr>
        <w:t>》之规定，在平等、自愿、公平的基础上，经过认真磋商，就乙方为甲方提供</w:t>
      </w:r>
      <w:r>
        <w:rPr>
          <w:rFonts w:hint="eastAsia" w:cs="Times New Roman"/>
        </w:rPr>
        <w:t>陕西省人事考试考场信号屏蔽和安检技术服务</w:t>
      </w:r>
      <w:r>
        <w:rPr>
          <w:rFonts w:cs="Times New Roman"/>
        </w:rPr>
        <w:t>事宜达成以下共识。</w:t>
      </w:r>
    </w:p>
    <w:p w14:paraId="282824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黑体"/>
        </w:rPr>
      </w:pPr>
      <w:r>
        <w:rPr>
          <w:rFonts w:hint="eastAsia" w:cs="黑体"/>
        </w:rPr>
        <w:t>一、服务范围和时间</w:t>
      </w:r>
    </w:p>
    <w:p w14:paraId="25FE27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2" w:firstLineChars="200"/>
        <w:jc w:val="both"/>
        <w:textAlignment w:val="auto"/>
        <w:rPr>
          <w:rFonts w:cs="Times New Roman"/>
          <w:b/>
          <w:bCs/>
        </w:rPr>
      </w:pPr>
      <w:r>
        <w:rPr>
          <w:rFonts w:cs="Times New Roman"/>
          <w:b/>
          <w:bCs/>
        </w:rPr>
        <w:t>1</w:t>
      </w:r>
      <w:r>
        <w:rPr>
          <w:rFonts w:hint="eastAsia" w:cs="Times New Roman"/>
          <w:b/>
          <w:bCs/>
        </w:rPr>
        <w:t>.</w:t>
      </w:r>
      <w:r>
        <w:rPr>
          <w:rFonts w:cs="Times New Roman"/>
          <w:b/>
          <w:bCs/>
        </w:rPr>
        <w:t>服务范围</w:t>
      </w:r>
    </w:p>
    <w:p w14:paraId="6C7806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</w:rPr>
      </w:pPr>
      <w:r>
        <w:rPr>
          <w:rFonts w:hint="eastAsia" w:cs="Times New Roman"/>
        </w:rPr>
        <w:t>按照</w:t>
      </w:r>
      <w:r>
        <w:rPr>
          <w:rFonts w:cs="Times New Roman"/>
        </w:rPr>
        <w:t>甲方</w:t>
      </w:r>
      <w:r>
        <w:rPr>
          <w:rFonts w:hint="eastAsia" w:cs="Times New Roman"/>
        </w:rPr>
        <w:t>要求，为指定</w:t>
      </w:r>
      <w:r>
        <w:rPr>
          <w:rFonts w:cs="Times New Roman"/>
        </w:rPr>
        <w:t>的</w:t>
      </w:r>
      <w:r>
        <w:rPr>
          <w:rFonts w:hint="eastAsia" w:cs="Times New Roman"/>
        </w:rPr>
        <w:t>区域提供手机</w:t>
      </w:r>
      <w:r>
        <w:rPr>
          <w:rFonts w:cs="Times New Roman"/>
        </w:rPr>
        <w:t>信号屏蔽</w:t>
      </w:r>
      <w:r>
        <w:rPr>
          <w:rFonts w:hint="eastAsia" w:cs="Times New Roman"/>
        </w:rPr>
        <w:t>和安检技术服务，包括但不限于为每个考场提供手机信号屏蔽器和</w:t>
      </w:r>
      <w:r>
        <w:rPr>
          <w:rFonts w:cs="Times New Roman"/>
        </w:rPr>
        <w:t>金属探测</w:t>
      </w:r>
      <w:r>
        <w:rPr>
          <w:rFonts w:hint="eastAsia" w:cs="Times New Roman"/>
        </w:rPr>
        <w:t>器，以及为指定考点提供考生入场人脸识别等服务</w:t>
      </w:r>
      <w:r>
        <w:rPr>
          <w:rFonts w:cs="Times New Roman"/>
        </w:rPr>
        <w:t>。</w:t>
      </w:r>
    </w:p>
    <w:p w14:paraId="53CD63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2" w:firstLineChars="200"/>
        <w:jc w:val="both"/>
        <w:textAlignment w:val="auto"/>
        <w:rPr>
          <w:rFonts w:cs="Times New Roman"/>
          <w:b/>
          <w:bCs/>
        </w:rPr>
      </w:pPr>
      <w:r>
        <w:rPr>
          <w:rFonts w:hint="eastAsia" w:cs="Times New Roman"/>
          <w:b/>
          <w:bCs/>
        </w:rPr>
        <w:t>2.服务时间</w:t>
      </w:r>
    </w:p>
    <w:p w14:paraId="2E180F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</w:rPr>
      </w:pPr>
      <w:r>
        <w:rPr>
          <w:rFonts w:hint="eastAsia" w:cs="Times New Roman"/>
          <w:lang w:val="en-US" w:eastAsia="zh-CN"/>
        </w:rPr>
        <w:t xml:space="preserve">    </w:t>
      </w:r>
      <w:r>
        <w:rPr>
          <w:rFonts w:hint="eastAsia" w:cs="Times New Roman"/>
        </w:rPr>
        <w:t>年</w:t>
      </w:r>
      <w:r>
        <w:rPr>
          <w:rFonts w:hint="eastAsia" w:cs="Times New Roman"/>
          <w:lang w:val="en-US" w:eastAsia="zh-CN"/>
        </w:rPr>
        <w:t xml:space="preserve">  </w:t>
      </w:r>
      <w:r>
        <w:rPr>
          <w:rFonts w:hint="eastAsia" w:cs="Times New Roman"/>
        </w:rPr>
        <w:t>月</w:t>
      </w:r>
      <w:r>
        <w:rPr>
          <w:rFonts w:hint="eastAsia" w:cs="Times New Roman"/>
          <w:lang w:val="en-US" w:eastAsia="zh-CN"/>
        </w:rPr>
        <w:t xml:space="preserve">  </w:t>
      </w:r>
      <w:r>
        <w:rPr>
          <w:rFonts w:hint="eastAsia" w:cs="Times New Roman"/>
        </w:rPr>
        <w:t>日至</w:t>
      </w:r>
      <w:r>
        <w:rPr>
          <w:rFonts w:hint="eastAsia" w:cs="Times New Roman"/>
          <w:lang w:val="en-US" w:eastAsia="zh-CN"/>
        </w:rPr>
        <w:t xml:space="preserve">   </w:t>
      </w:r>
      <w:r>
        <w:rPr>
          <w:rFonts w:hint="eastAsia" w:cs="Times New Roman"/>
        </w:rPr>
        <w:t>年</w:t>
      </w:r>
      <w:r>
        <w:rPr>
          <w:rFonts w:hint="eastAsia" w:cs="Times New Roman"/>
          <w:lang w:val="en-US" w:eastAsia="zh-CN"/>
        </w:rPr>
        <w:t xml:space="preserve">  </w:t>
      </w:r>
      <w:r>
        <w:rPr>
          <w:rFonts w:hint="eastAsia" w:cs="Times New Roman"/>
        </w:rPr>
        <w:t>月</w:t>
      </w:r>
      <w:r>
        <w:rPr>
          <w:rFonts w:hint="eastAsia" w:cs="Times New Roman"/>
          <w:lang w:val="en-US" w:eastAsia="zh-CN"/>
        </w:rPr>
        <w:t xml:space="preserve">  </w:t>
      </w:r>
      <w:r>
        <w:rPr>
          <w:rFonts w:hint="eastAsia" w:cs="Times New Roman"/>
        </w:rPr>
        <w:t>日。</w:t>
      </w:r>
    </w:p>
    <w:p w14:paraId="7405E1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2" w:firstLineChars="200"/>
        <w:jc w:val="both"/>
        <w:textAlignment w:val="auto"/>
        <w:rPr>
          <w:rFonts w:cs="Times New Roman"/>
          <w:b/>
          <w:bCs/>
        </w:rPr>
      </w:pPr>
      <w:r>
        <w:rPr>
          <w:rFonts w:hint="eastAsia" w:cs="Times New Roman"/>
          <w:b/>
          <w:bCs/>
        </w:rPr>
        <w:t>3.工作程序</w:t>
      </w:r>
    </w:p>
    <w:p w14:paraId="608B68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</w:rPr>
      </w:pPr>
      <w:r>
        <w:rPr>
          <w:rFonts w:hint="eastAsia" w:cs="Times New Roman"/>
        </w:rPr>
        <w:t>每项考试前</w:t>
      </w:r>
      <w:r>
        <w:rPr>
          <w:rFonts w:hint="eastAsia" w:cs="Times New Roman"/>
          <w:lang w:val="en-US" w:eastAsia="zh-CN"/>
        </w:rPr>
        <w:t>2</w:t>
      </w:r>
      <w:r>
        <w:rPr>
          <w:rFonts w:hint="eastAsia" w:cs="Times New Roman"/>
        </w:rPr>
        <w:t>天，乙方将信号屏蔽仪、金属探测仪、人脸识别终端等设备运抵甲方指定考点。考试当天乙方在考前1小时将各类设备布置到位，严格按照甲方规定时间开启和关闭各类设备。在考试过程中及时检查设备的工作情况，及时解决发现的问题，确保设备运行正常。乙方派驻考点技术负责人应按时到甲方巡考办公室报到。</w:t>
      </w:r>
    </w:p>
    <w:p w14:paraId="21758914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eastAsia" w:cs="黑体"/>
        </w:rPr>
      </w:pPr>
      <w:r>
        <w:rPr>
          <w:rFonts w:hint="eastAsia" w:cs="黑体"/>
        </w:rPr>
        <w:t>合同金额及付款方式</w:t>
      </w:r>
    </w:p>
    <w:p w14:paraId="3BD281F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default" w:eastAsia="宋体" w:cs="黑体"/>
          <w:highlight w:val="none"/>
          <w:lang w:val="en-US" w:eastAsia="zh-CN"/>
        </w:rPr>
      </w:pPr>
      <w:r>
        <w:rPr>
          <w:rFonts w:hint="eastAsia" w:cs="黑体"/>
          <w:lang w:val="en-US" w:eastAsia="zh-CN"/>
        </w:rPr>
        <w:t xml:space="preserve">   </w:t>
      </w:r>
      <w:r>
        <w:rPr>
          <w:rFonts w:hint="eastAsia" w:cs="黑体"/>
          <w:highlight w:val="none"/>
          <w:lang w:val="en-US" w:eastAsia="zh-CN"/>
        </w:rPr>
        <w:t xml:space="preserve"> 合同总金额：</w:t>
      </w:r>
    </w:p>
    <w:p w14:paraId="45FB08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eastAsia" w:cs="Times New Roman"/>
          <w:highlight w:val="none"/>
          <w:lang w:val="en-US" w:eastAsia="zh-CN"/>
        </w:rPr>
      </w:pPr>
      <w:r>
        <w:rPr>
          <w:rFonts w:cs="Times New Roman"/>
          <w:highlight w:val="none"/>
        </w:rPr>
        <w:t>1</w:t>
      </w:r>
      <w:r>
        <w:rPr>
          <w:rFonts w:hint="eastAsia" w:cs="Times New Roman"/>
          <w:highlight w:val="none"/>
        </w:rPr>
        <w:t>.</w:t>
      </w:r>
      <w:r>
        <w:rPr>
          <w:rFonts w:cs="Times New Roman"/>
          <w:highlight w:val="none"/>
        </w:rPr>
        <w:t>手机</w:t>
      </w:r>
      <w:r>
        <w:rPr>
          <w:rFonts w:hint="eastAsia" w:cs="Times New Roman"/>
          <w:highlight w:val="none"/>
        </w:rPr>
        <w:t>信号</w:t>
      </w:r>
      <w:r>
        <w:rPr>
          <w:rFonts w:cs="Times New Roman"/>
          <w:highlight w:val="none"/>
        </w:rPr>
        <w:t>屏蔽</w:t>
      </w:r>
      <w:r>
        <w:rPr>
          <w:rFonts w:hint="eastAsia" w:cs="Times New Roman"/>
          <w:highlight w:val="none"/>
        </w:rPr>
        <w:t>器</w:t>
      </w:r>
      <w:r>
        <w:rPr>
          <w:rFonts w:cs="Times New Roman"/>
          <w:highlight w:val="none"/>
        </w:rPr>
        <w:t>：</w:t>
      </w:r>
      <w:r>
        <w:rPr>
          <w:rFonts w:hint="eastAsia" w:cs="Times New Roman"/>
          <w:highlight w:val="none"/>
          <w:lang w:val="en-US" w:eastAsia="zh-CN"/>
        </w:rPr>
        <w:t xml:space="preserve">   </w:t>
      </w:r>
      <w:r>
        <w:rPr>
          <w:rFonts w:cs="Times New Roman"/>
          <w:highlight w:val="none"/>
        </w:rPr>
        <w:t>元/</w:t>
      </w:r>
      <w:r>
        <w:rPr>
          <w:rFonts w:hint="eastAsia" w:cs="Times New Roman"/>
          <w:highlight w:val="none"/>
          <w:lang w:val="en-US" w:eastAsia="zh-CN"/>
        </w:rPr>
        <w:t>台/场</w:t>
      </w:r>
    </w:p>
    <w:p w14:paraId="42D3D1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eastAsia" w:cs="Times New Roman"/>
          <w:highlight w:val="none"/>
          <w:lang w:val="en-US" w:eastAsia="zh-CN"/>
        </w:rPr>
      </w:pPr>
      <w:r>
        <w:rPr>
          <w:rFonts w:hint="eastAsia" w:cs="Times New Roman"/>
          <w:highlight w:val="none"/>
        </w:rPr>
        <w:t>2.金属探测器：</w:t>
      </w:r>
      <w:r>
        <w:rPr>
          <w:rFonts w:hint="eastAsia" w:cs="Times New Roman"/>
          <w:highlight w:val="none"/>
          <w:lang w:val="en-US" w:eastAsia="zh-CN"/>
        </w:rPr>
        <w:t xml:space="preserve">   </w:t>
      </w:r>
      <w:r>
        <w:rPr>
          <w:rFonts w:cs="Times New Roman"/>
          <w:highlight w:val="none"/>
        </w:rPr>
        <w:t>元/</w:t>
      </w:r>
      <w:r>
        <w:rPr>
          <w:rFonts w:hint="eastAsia" w:cs="Times New Roman"/>
          <w:highlight w:val="none"/>
          <w:lang w:val="en-US" w:eastAsia="zh-CN"/>
        </w:rPr>
        <w:t>台/场</w:t>
      </w:r>
    </w:p>
    <w:p w14:paraId="7D38BD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eastAsia" w:eastAsia="宋体" w:cs="Times New Roman"/>
          <w:highlight w:val="none"/>
          <w:lang w:eastAsia="zh-CN"/>
        </w:rPr>
      </w:pPr>
      <w:r>
        <w:rPr>
          <w:rFonts w:hint="eastAsia" w:cs="Times New Roman"/>
          <w:highlight w:val="none"/>
        </w:rPr>
        <w:t>3.人脸识别终端：</w:t>
      </w:r>
      <w:r>
        <w:rPr>
          <w:rFonts w:hint="eastAsia" w:cs="Times New Roman"/>
          <w:highlight w:val="none"/>
          <w:lang w:val="en-US" w:eastAsia="zh-CN"/>
        </w:rPr>
        <w:t xml:space="preserve">  </w:t>
      </w:r>
      <w:r>
        <w:rPr>
          <w:rFonts w:cs="Times New Roman"/>
          <w:highlight w:val="none"/>
        </w:rPr>
        <w:t>元/</w:t>
      </w:r>
      <w:r>
        <w:rPr>
          <w:rFonts w:hint="eastAsia" w:cs="Times New Roman"/>
          <w:highlight w:val="none"/>
          <w:lang w:val="en-US" w:eastAsia="zh-CN"/>
        </w:rPr>
        <w:t>台/场</w:t>
      </w:r>
    </w:p>
    <w:p w14:paraId="665262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</w:rPr>
        <w:t>4.</w:t>
      </w:r>
      <w:r>
        <w:rPr>
          <w:rFonts w:cs="Times New Roman"/>
          <w:highlight w:val="none"/>
        </w:rPr>
        <w:t>其他设备：双方商议确定</w:t>
      </w:r>
    </w:p>
    <w:p w14:paraId="08549D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</w:rPr>
        <w:t>5.设备数量：手机信号屏蔽器和金属探测器按照每个考场一台，每一百个考场配10台备用机布置；人脸识别终端按照每一百个考场10台设备和2台备用机布置。</w:t>
      </w:r>
    </w:p>
    <w:p w14:paraId="40EC1D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</w:rPr>
        <w:t>6.</w:t>
      </w:r>
      <w:r>
        <w:rPr>
          <w:rFonts w:cs="Times New Roman"/>
          <w:highlight w:val="none"/>
        </w:rPr>
        <w:t>付款方式：甲方</w:t>
      </w:r>
      <w:r>
        <w:rPr>
          <w:rFonts w:hint="eastAsia" w:cs="Times New Roman"/>
          <w:highlight w:val="none"/>
        </w:rPr>
        <w:t>收到发票后，</w:t>
      </w:r>
      <w:r>
        <w:rPr>
          <w:rFonts w:hint="eastAsia" w:cs="Times New Roman"/>
          <w:highlight w:val="none"/>
          <w:lang w:val="en-US" w:eastAsia="zh-CN"/>
        </w:rPr>
        <w:t>经双方确认无误15个工作日内</w:t>
      </w:r>
      <w:r>
        <w:rPr>
          <w:rFonts w:hint="eastAsia" w:cs="Times New Roman"/>
          <w:highlight w:val="none"/>
        </w:rPr>
        <w:t>据实支付</w:t>
      </w:r>
      <w:r>
        <w:rPr>
          <w:rFonts w:cs="Times New Roman"/>
          <w:highlight w:val="none"/>
        </w:rPr>
        <w:t>当次服务全部款项。</w:t>
      </w:r>
    </w:p>
    <w:p w14:paraId="63D668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</w:rPr>
        <w:t>7.</w:t>
      </w:r>
      <w:r>
        <w:rPr>
          <w:rFonts w:cs="Times New Roman"/>
          <w:highlight w:val="none"/>
        </w:rPr>
        <w:t>乙方收款信息：</w:t>
      </w:r>
    </w:p>
    <w:p w14:paraId="409F38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cs="Times New Roman"/>
          <w:highlight w:val="none"/>
        </w:rPr>
        <w:t>名称：</w:t>
      </w:r>
    </w:p>
    <w:p w14:paraId="4E5349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cs="Times New Roman"/>
          <w:highlight w:val="none"/>
        </w:rPr>
        <w:t>纳税人识别号：</w:t>
      </w:r>
    </w:p>
    <w:p w14:paraId="612518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cs="Times New Roman"/>
          <w:highlight w:val="none"/>
        </w:rPr>
        <w:t>地址、电话：</w:t>
      </w:r>
    </w:p>
    <w:p w14:paraId="3CF314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cs="Times New Roman"/>
          <w:highlight w:val="none"/>
        </w:rPr>
        <w:t>开户行及账号：</w:t>
      </w:r>
    </w:p>
    <w:p w14:paraId="2DCE08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cs="Times New Roman"/>
          <w:highlight w:val="none"/>
        </w:rPr>
        <w:t>账户：</w:t>
      </w:r>
    </w:p>
    <w:p w14:paraId="2A1298AD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黑体"/>
          <w:highlight w:val="none"/>
        </w:rPr>
      </w:pPr>
      <w:r>
        <w:rPr>
          <w:rFonts w:hint="eastAsia" w:cs="黑体"/>
          <w:highlight w:val="none"/>
        </w:rPr>
        <w:t>甲方的责任与权利</w:t>
      </w:r>
    </w:p>
    <w:p w14:paraId="328678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cs="Times New Roman"/>
          <w:highlight w:val="none"/>
        </w:rPr>
        <w:t>1</w:t>
      </w:r>
      <w:r>
        <w:rPr>
          <w:rFonts w:hint="eastAsia" w:cs="Times New Roman"/>
          <w:highlight w:val="none"/>
        </w:rPr>
        <w:t>.</w:t>
      </w:r>
      <w:r>
        <w:rPr>
          <w:rFonts w:cs="Times New Roman"/>
          <w:highlight w:val="none"/>
        </w:rPr>
        <w:t>甲方指定专人</w:t>
      </w:r>
      <w:r>
        <w:rPr>
          <w:rFonts w:hint="eastAsia" w:cs="Times New Roman"/>
          <w:highlight w:val="none"/>
        </w:rPr>
        <w:t>负责跟</w:t>
      </w:r>
      <w:r>
        <w:rPr>
          <w:rFonts w:cs="Times New Roman"/>
          <w:highlight w:val="none"/>
        </w:rPr>
        <w:t>乙方</w:t>
      </w:r>
      <w:r>
        <w:rPr>
          <w:rFonts w:hint="eastAsia" w:cs="Times New Roman"/>
          <w:highlight w:val="none"/>
        </w:rPr>
        <w:t>协商有关具体服务事宜</w:t>
      </w:r>
      <w:r>
        <w:rPr>
          <w:rFonts w:cs="Times New Roman"/>
          <w:highlight w:val="none"/>
        </w:rPr>
        <w:t>。</w:t>
      </w:r>
    </w:p>
    <w:p w14:paraId="6AF964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cs="Times New Roman"/>
          <w:highlight w:val="none"/>
        </w:rPr>
        <w:t>2</w:t>
      </w:r>
      <w:r>
        <w:rPr>
          <w:rFonts w:hint="eastAsia" w:cs="Times New Roman"/>
          <w:highlight w:val="none"/>
        </w:rPr>
        <w:t>.</w:t>
      </w:r>
      <w:r>
        <w:rPr>
          <w:rFonts w:cs="Times New Roman"/>
          <w:highlight w:val="none"/>
        </w:rPr>
        <w:t>甲方</w:t>
      </w:r>
      <w:r>
        <w:rPr>
          <w:rFonts w:hint="eastAsia" w:cs="Times New Roman"/>
          <w:highlight w:val="none"/>
        </w:rPr>
        <w:t>负责在考前</w:t>
      </w:r>
      <w:r>
        <w:rPr>
          <w:rFonts w:hint="eastAsia" w:cs="Times New Roman"/>
          <w:highlight w:val="none"/>
          <w:lang w:val="en-US" w:eastAsia="zh-CN"/>
        </w:rPr>
        <w:t>及时</w:t>
      </w:r>
      <w:r>
        <w:rPr>
          <w:rFonts w:cs="Times New Roman"/>
          <w:highlight w:val="none"/>
        </w:rPr>
        <w:t>向乙方提供与</w:t>
      </w:r>
      <w:r>
        <w:rPr>
          <w:rFonts w:hint="eastAsia" w:cs="Times New Roman"/>
          <w:highlight w:val="none"/>
        </w:rPr>
        <w:t>考场数量、</w:t>
      </w:r>
      <w:r>
        <w:rPr>
          <w:rFonts w:cs="Times New Roman"/>
          <w:highlight w:val="none"/>
        </w:rPr>
        <w:t>考场</w:t>
      </w:r>
      <w:r>
        <w:rPr>
          <w:rFonts w:hint="eastAsia" w:cs="Times New Roman"/>
          <w:highlight w:val="none"/>
        </w:rPr>
        <w:t>分布</w:t>
      </w:r>
      <w:r>
        <w:rPr>
          <w:rFonts w:cs="Times New Roman"/>
          <w:highlight w:val="none"/>
        </w:rPr>
        <w:t>资料、考点联系人</w:t>
      </w:r>
      <w:r>
        <w:rPr>
          <w:rFonts w:hint="eastAsia" w:cs="Times New Roman"/>
          <w:highlight w:val="none"/>
        </w:rPr>
        <w:t>信息、考生人脸识别数据</w:t>
      </w:r>
      <w:r>
        <w:rPr>
          <w:rFonts w:cs="Times New Roman"/>
          <w:highlight w:val="none"/>
        </w:rPr>
        <w:t>。</w:t>
      </w:r>
    </w:p>
    <w:p w14:paraId="33FA94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cs="Times New Roman"/>
          <w:highlight w:val="none"/>
        </w:rPr>
        <w:t>3</w:t>
      </w:r>
      <w:r>
        <w:rPr>
          <w:rFonts w:hint="eastAsia" w:cs="Times New Roman"/>
          <w:highlight w:val="none"/>
        </w:rPr>
        <w:t>.</w:t>
      </w:r>
      <w:r>
        <w:rPr>
          <w:rFonts w:cs="Times New Roman"/>
          <w:highlight w:val="none"/>
        </w:rPr>
        <w:t>甲方</w:t>
      </w:r>
      <w:r>
        <w:rPr>
          <w:rFonts w:hint="eastAsia" w:cs="Times New Roman"/>
          <w:highlight w:val="none"/>
        </w:rPr>
        <w:t>负责</w:t>
      </w:r>
      <w:r>
        <w:rPr>
          <w:rFonts w:cs="Times New Roman"/>
          <w:highlight w:val="none"/>
        </w:rPr>
        <w:t>向乙方</w:t>
      </w:r>
      <w:r>
        <w:rPr>
          <w:rFonts w:hint="eastAsia" w:cs="Times New Roman"/>
          <w:highlight w:val="none"/>
        </w:rPr>
        <w:t>工作</w:t>
      </w:r>
      <w:r>
        <w:rPr>
          <w:rFonts w:cs="Times New Roman"/>
          <w:highlight w:val="none"/>
        </w:rPr>
        <w:t>人员提供相关工作证件，方便其在考试区域内工作。</w:t>
      </w:r>
    </w:p>
    <w:p w14:paraId="67C7FC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黑体"/>
          <w:highlight w:val="none"/>
        </w:rPr>
      </w:pPr>
      <w:r>
        <w:rPr>
          <w:rFonts w:cs="Times New Roman"/>
          <w:highlight w:val="none"/>
        </w:rPr>
        <w:t>4</w:t>
      </w:r>
      <w:r>
        <w:rPr>
          <w:rFonts w:hint="eastAsia" w:cs="Times New Roman"/>
          <w:highlight w:val="none"/>
        </w:rPr>
        <w:t>.</w:t>
      </w:r>
      <w:r>
        <w:rPr>
          <w:rFonts w:cs="Times New Roman"/>
          <w:highlight w:val="none"/>
        </w:rPr>
        <w:t>甲方</w:t>
      </w:r>
      <w:r>
        <w:rPr>
          <w:rFonts w:hint="eastAsia" w:cs="Times New Roman"/>
          <w:highlight w:val="none"/>
        </w:rPr>
        <w:t>负责</w:t>
      </w:r>
      <w:r>
        <w:rPr>
          <w:rFonts w:cs="Times New Roman"/>
          <w:highlight w:val="none"/>
        </w:rPr>
        <w:t>协调考点负责人，</w:t>
      </w:r>
      <w:r>
        <w:rPr>
          <w:rFonts w:hint="eastAsia" w:cs="Times New Roman"/>
          <w:highlight w:val="none"/>
        </w:rPr>
        <w:t>协助</w:t>
      </w:r>
      <w:r>
        <w:rPr>
          <w:rFonts w:cs="Times New Roman"/>
          <w:highlight w:val="none"/>
        </w:rPr>
        <w:t>乙方</w:t>
      </w:r>
      <w:r>
        <w:rPr>
          <w:rFonts w:hint="eastAsia" w:cs="Times New Roman"/>
          <w:highlight w:val="none"/>
        </w:rPr>
        <w:t>设备进场、存放和布置</w:t>
      </w:r>
      <w:r>
        <w:rPr>
          <w:rFonts w:cs="Times New Roman"/>
          <w:highlight w:val="none"/>
        </w:rPr>
        <w:t>。</w:t>
      </w:r>
    </w:p>
    <w:p w14:paraId="560BB5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黑体"/>
          <w:highlight w:val="none"/>
        </w:rPr>
      </w:pPr>
      <w:r>
        <w:rPr>
          <w:rFonts w:hint="eastAsia" w:cs="黑体"/>
          <w:highlight w:val="none"/>
        </w:rPr>
        <w:t>四、乙方的责任与权利</w:t>
      </w:r>
    </w:p>
    <w:p w14:paraId="239534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</w:rPr>
        <w:t>1.乙方指定</w:t>
      </w:r>
      <w:r>
        <w:rPr>
          <w:rFonts w:cs="Times New Roman"/>
          <w:highlight w:val="none"/>
        </w:rPr>
        <w:t>专人</w:t>
      </w:r>
      <w:r>
        <w:rPr>
          <w:rFonts w:hint="eastAsia" w:cs="Times New Roman"/>
          <w:highlight w:val="none"/>
        </w:rPr>
        <w:t>负责跟甲</w:t>
      </w:r>
      <w:r>
        <w:rPr>
          <w:rFonts w:cs="Times New Roman"/>
          <w:highlight w:val="none"/>
        </w:rPr>
        <w:t>方</w:t>
      </w:r>
      <w:r>
        <w:rPr>
          <w:rFonts w:hint="eastAsia" w:cs="Times New Roman"/>
          <w:highlight w:val="none"/>
        </w:rPr>
        <w:t>协商有关具体服务事宜。</w:t>
      </w:r>
    </w:p>
    <w:p w14:paraId="1E6438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eastAsia" w:cs="Times New Roman"/>
          <w:highlight w:val="none"/>
        </w:rPr>
      </w:pPr>
      <w:r>
        <w:rPr>
          <w:rFonts w:hint="eastAsia" w:cs="Times New Roman"/>
          <w:highlight w:val="none"/>
        </w:rPr>
        <w:t>2.乙方参与当次考试的工作人员，须确保无直系亲属或者利益关系人参加本次考试。</w:t>
      </w:r>
    </w:p>
    <w:p w14:paraId="1545A1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eastAsia" w:cs="Times New Roman"/>
          <w:highlight w:val="none"/>
        </w:rPr>
      </w:pPr>
      <w:r>
        <w:rPr>
          <w:rFonts w:hint="eastAsia" w:cs="Times New Roman"/>
          <w:highlight w:val="none"/>
          <w:lang w:val="en-US" w:eastAsia="zh-CN"/>
        </w:rPr>
        <w:t>3.在甲方向乙方提供考点信息3日内，乙方须向甲方报送详细技防设备使用情况计划单，具体包括各考点拟部署</w:t>
      </w:r>
      <w:r>
        <w:rPr>
          <w:rFonts w:cs="Times New Roman"/>
          <w:highlight w:val="none"/>
        </w:rPr>
        <w:t>手机</w:t>
      </w:r>
      <w:r>
        <w:rPr>
          <w:rFonts w:hint="eastAsia" w:cs="Times New Roman"/>
          <w:highlight w:val="none"/>
        </w:rPr>
        <w:t>信号</w:t>
      </w:r>
      <w:r>
        <w:rPr>
          <w:rFonts w:cs="Times New Roman"/>
          <w:highlight w:val="none"/>
        </w:rPr>
        <w:t>屏蔽</w:t>
      </w:r>
      <w:r>
        <w:rPr>
          <w:rFonts w:hint="eastAsia" w:cs="Times New Roman"/>
          <w:highlight w:val="none"/>
        </w:rPr>
        <w:t>器</w:t>
      </w:r>
      <w:r>
        <w:rPr>
          <w:rFonts w:hint="eastAsia" w:cs="Times New Roman"/>
          <w:highlight w:val="none"/>
          <w:lang w:eastAsia="zh-CN"/>
        </w:rPr>
        <w:t>、</w:t>
      </w:r>
      <w:r>
        <w:rPr>
          <w:rFonts w:hint="eastAsia" w:cs="Times New Roman"/>
          <w:highlight w:val="none"/>
        </w:rPr>
        <w:t>金属探测器</w:t>
      </w:r>
      <w:r>
        <w:rPr>
          <w:rFonts w:hint="eastAsia" w:cs="Times New Roman"/>
          <w:highlight w:val="none"/>
          <w:lang w:eastAsia="zh-CN"/>
        </w:rPr>
        <w:t>、</w:t>
      </w:r>
      <w:r>
        <w:rPr>
          <w:rFonts w:hint="eastAsia" w:cs="Times New Roman"/>
          <w:highlight w:val="none"/>
        </w:rPr>
        <w:t>人脸识别终端</w:t>
      </w:r>
      <w:r>
        <w:rPr>
          <w:rFonts w:hint="eastAsia" w:cs="Times New Roman"/>
          <w:highlight w:val="none"/>
          <w:lang w:val="en-US" w:eastAsia="zh-CN"/>
        </w:rPr>
        <w:t>的型号及数量。考前3日，乙方须向甲方提供各考点</w:t>
      </w:r>
      <w:r>
        <w:rPr>
          <w:rFonts w:hint="eastAsia" w:cs="Times New Roman"/>
          <w:highlight w:val="none"/>
        </w:rPr>
        <w:t>技术保障人员</w:t>
      </w:r>
      <w:r>
        <w:rPr>
          <w:rFonts w:hint="eastAsia" w:cs="Times New Roman"/>
          <w:highlight w:val="none"/>
          <w:lang w:val="en-US" w:eastAsia="zh-CN"/>
        </w:rPr>
        <w:t>及联系方式</w:t>
      </w:r>
      <w:r>
        <w:rPr>
          <w:rFonts w:hint="eastAsia" w:cs="Times New Roman"/>
          <w:highlight w:val="none"/>
        </w:rPr>
        <w:t>，确保考试期间联系畅通。</w:t>
      </w:r>
    </w:p>
    <w:p w14:paraId="1D460C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  <w:lang w:val="en-US" w:eastAsia="zh-CN"/>
        </w:rPr>
        <w:t>4</w:t>
      </w:r>
      <w:r>
        <w:rPr>
          <w:rFonts w:hint="eastAsia" w:cs="Times New Roman"/>
          <w:highlight w:val="none"/>
        </w:rPr>
        <w:t>.乙方提供运行良好的设备，</w:t>
      </w:r>
      <w:r>
        <w:rPr>
          <w:rFonts w:hint="eastAsia" w:cs="Times New Roman"/>
          <w:highlight w:val="none"/>
          <w:lang w:val="en-US" w:eastAsia="zh-CN"/>
        </w:rPr>
        <w:t>须在开考前逐一进行信号测试并出具测试报告，</w:t>
      </w:r>
      <w:r>
        <w:rPr>
          <w:rFonts w:hint="eastAsia" w:cs="Times New Roman"/>
          <w:highlight w:val="none"/>
        </w:rPr>
        <w:t>务必确保考试期间设备正常运行。人脸识别设备需</w:t>
      </w:r>
      <w:r>
        <w:rPr>
          <w:rFonts w:hint="eastAsia" w:cs="Times New Roman"/>
          <w:highlight w:val="none"/>
          <w:lang w:val="en-US" w:eastAsia="zh-CN"/>
        </w:rPr>
        <w:t>具备</w:t>
      </w:r>
      <w:r>
        <w:rPr>
          <w:rFonts w:hint="eastAsia" w:cs="Times New Roman"/>
          <w:highlight w:val="none"/>
        </w:rPr>
        <w:t>数据</w:t>
      </w:r>
      <w:r>
        <w:rPr>
          <w:rFonts w:hint="eastAsia" w:cs="Times New Roman"/>
          <w:highlight w:val="none"/>
          <w:lang w:val="en-US" w:eastAsia="zh-CN"/>
        </w:rPr>
        <w:t>统计功能</w:t>
      </w:r>
      <w:r>
        <w:rPr>
          <w:rFonts w:hint="eastAsia" w:cs="Times New Roman"/>
          <w:highlight w:val="none"/>
        </w:rPr>
        <w:t>，在禁止迟到考生入场30分钟以后，</w:t>
      </w:r>
      <w:r>
        <w:rPr>
          <w:rFonts w:hint="eastAsia" w:cs="Times New Roman"/>
          <w:highlight w:val="none"/>
          <w:lang w:val="en-US" w:eastAsia="zh-CN"/>
        </w:rPr>
        <w:t>乙方需</w:t>
      </w:r>
      <w:r>
        <w:rPr>
          <w:rFonts w:hint="eastAsia" w:cs="Times New Roman"/>
          <w:highlight w:val="none"/>
        </w:rPr>
        <w:t>将考生入场情况及实际缺考情况汇总，并反馈</w:t>
      </w:r>
      <w:r>
        <w:rPr>
          <w:rFonts w:hint="eastAsia" w:cs="Times New Roman"/>
          <w:highlight w:val="none"/>
          <w:lang w:val="en-US" w:eastAsia="zh-CN"/>
        </w:rPr>
        <w:t>甲方</w:t>
      </w:r>
      <w:r>
        <w:rPr>
          <w:rFonts w:hint="eastAsia" w:cs="Times New Roman"/>
          <w:highlight w:val="none"/>
        </w:rPr>
        <w:t>。</w:t>
      </w:r>
    </w:p>
    <w:p w14:paraId="2534A1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</w:rPr>
        <w:t>5.考试期间，乙方不得随意进入考试区域，更不得将与考试无关人员带至考试区域。如需到考场处理设备问题或需更换保障人员时，须征得甲方同意。</w:t>
      </w:r>
    </w:p>
    <w:p w14:paraId="495F88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</w:rPr>
        <w:t>6.乙方必须佩戴甲方提供的有效证件出入考区，并妥善保管，不得以任何理由外借证件。考后退还考试中心驻考点考务办。</w:t>
      </w:r>
    </w:p>
    <w:p w14:paraId="5972BE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</w:rPr>
        <w:t>7.乙方不得泄露在考试期间接触到的任何考务信息。</w:t>
      </w:r>
    </w:p>
    <w:p w14:paraId="44C7DF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</w:rPr>
        <w:t>8.乙方承诺若因自身能力不足、失误或过错导致无法在考试前完成工作的，乙方应提前5个工作日以书面形式告知甲方，甲方有权指定其他单位接替工作，并且所有费用由乙方承担。</w:t>
      </w:r>
    </w:p>
    <w:p w14:paraId="4EEC42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</w:rPr>
        <w:t>9.乙方应与甲方签订保密合同，并承诺在考试服务过程中，所有接触信息数据，严格按照保密合同履行数据保密义务，确保数据不外泄。</w:t>
      </w:r>
    </w:p>
    <w:p w14:paraId="077D1E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</w:rPr>
        <w:t>10.乙方承诺不进行合同分包、转包。</w:t>
      </w:r>
    </w:p>
    <w:p w14:paraId="5248DA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</w:rPr>
        <w:t>11.乙方承诺我单位具有履行合同所必需的设备和专业技术能力。</w:t>
      </w:r>
    </w:p>
    <w:p w14:paraId="2BE6F5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</w:rPr>
        <w:t>12.乙方承诺所有服务设备，按照国家标准及标书等要求，严格自检设备，确保供货设备无损。</w:t>
      </w:r>
    </w:p>
    <w:p w14:paraId="4E1A37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</w:rPr>
        <w:t xml:space="preserve">13.乙方承诺产品在开始使用前的安装、调试过程中，将派专人对现场有关人员进行协助、指导、并免费对使用方指定的人员进行相关培训。乙方应按甲方要求，负责对考场内的设备进行开关。 </w:t>
      </w:r>
    </w:p>
    <w:p w14:paraId="4D849C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</w:rPr>
        <w:t>1</w:t>
      </w:r>
      <w:r>
        <w:rPr>
          <w:rFonts w:hint="eastAsia" w:cs="Times New Roman"/>
          <w:highlight w:val="none"/>
          <w:lang w:val="en-US" w:eastAsia="zh-CN"/>
        </w:rPr>
        <w:t>4</w:t>
      </w:r>
      <w:r>
        <w:rPr>
          <w:rFonts w:hint="eastAsia" w:cs="Times New Roman"/>
          <w:highlight w:val="none"/>
        </w:rPr>
        <w:t xml:space="preserve">.乙方承诺所供货物与合同规定的质量、规格和性能相一致，在产品运行使用期间，按操作规程和安装使用说明书规定的方法操作。 </w:t>
      </w:r>
    </w:p>
    <w:p w14:paraId="5BADCA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eastAsia" w:cs="Times New Roman"/>
          <w:highlight w:val="none"/>
        </w:rPr>
      </w:pPr>
      <w:r>
        <w:rPr>
          <w:rFonts w:hint="eastAsia" w:cs="Times New Roman"/>
          <w:highlight w:val="none"/>
        </w:rPr>
        <w:t>1</w:t>
      </w:r>
      <w:r>
        <w:rPr>
          <w:rFonts w:hint="eastAsia" w:cs="Times New Roman"/>
          <w:highlight w:val="none"/>
          <w:lang w:val="en-US" w:eastAsia="zh-CN"/>
        </w:rPr>
        <w:t>5</w:t>
      </w:r>
      <w:r>
        <w:rPr>
          <w:rFonts w:hint="eastAsia" w:cs="Times New Roman"/>
          <w:highlight w:val="none"/>
        </w:rPr>
        <w:t>.乙方承诺产品在开始使用过程中，设备出现故障，若在规定时间内相关维护人员不能将设备修好，可整机替换。</w:t>
      </w:r>
    </w:p>
    <w:p w14:paraId="59AF5A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  <w:lang w:val="en-US" w:eastAsia="zh-CN"/>
        </w:rPr>
        <w:t>16.每项考试结束后，乙方应于3个工作日内，根据实际服务情况填写费用确认单。该确认单需清晰地列明本项考试中实际使用的设备名称、型号、数量及对应金额。经甲乙双方共同签字盖章确认后，该确认单将作为该项服务费用结算的直接依据。</w:t>
      </w:r>
      <w:r>
        <w:rPr>
          <w:rFonts w:hint="eastAsia" w:cs="Times New Roman"/>
          <w:highlight w:val="none"/>
        </w:rPr>
        <w:t xml:space="preserve"> </w:t>
      </w:r>
    </w:p>
    <w:p w14:paraId="0B30C6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黑体"/>
          <w:highlight w:val="none"/>
        </w:rPr>
        <w:t>五、违约责任</w:t>
      </w:r>
    </w:p>
    <w:p w14:paraId="0A8B5C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</w:rPr>
        <w:t>1.按《中华人民共和国民法典》中的相关条款执行。</w:t>
      </w:r>
    </w:p>
    <w:p w14:paraId="217236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</w:rPr>
        <w:t>2.若</w:t>
      </w:r>
      <w:r>
        <w:rPr>
          <w:rFonts w:hint="eastAsia" w:cs="Times New Roman"/>
          <w:highlight w:val="none"/>
          <w:lang w:val="en-US" w:eastAsia="zh-CN"/>
        </w:rPr>
        <w:t>乙方</w:t>
      </w:r>
      <w:r>
        <w:rPr>
          <w:rFonts w:hint="eastAsia" w:cs="Times New Roman"/>
          <w:highlight w:val="none"/>
        </w:rPr>
        <w:t>因自身</w:t>
      </w:r>
      <w:r>
        <w:rPr>
          <w:rFonts w:hint="eastAsia" w:cs="Times New Roman"/>
          <w:highlight w:val="none"/>
          <w:lang w:val="en-US" w:eastAsia="zh-CN"/>
        </w:rPr>
        <w:t>原因无法在</w:t>
      </w:r>
      <w:r>
        <w:rPr>
          <w:rFonts w:hint="eastAsia" w:cs="Times New Roman"/>
          <w:highlight w:val="none"/>
        </w:rPr>
        <w:t>考试前</w:t>
      </w:r>
      <w:r>
        <w:rPr>
          <w:rFonts w:hint="eastAsia" w:cs="Times New Roman"/>
          <w:highlight w:val="none"/>
          <w:lang w:val="en-US" w:eastAsia="zh-CN"/>
        </w:rPr>
        <w:t>履行合同约定事项的</w:t>
      </w:r>
      <w:r>
        <w:rPr>
          <w:rFonts w:hint="eastAsia" w:cs="Times New Roman"/>
          <w:highlight w:val="none"/>
        </w:rPr>
        <w:t>，应提前5个工作日以书面形式告知甲方，甲方有权指定其他单位接替</w:t>
      </w:r>
      <w:r>
        <w:rPr>
          <w:rFonts w:hint="eastAsia" w:cs="Times New Roman"/>
          <w:highlight w:val="none"/>
          <w:lang w:val="en-US" w:eastAsia="zh-CN"/>
        </w:rPr>
        <w:t>相关</w:t>
      </w:r>
      <w:r>
        <w:rPr>
          <w:rFonts w:hint="eastAsia" w:cs="Times New Roman"/>
          <w:highlight w:val="none"/>
        </w:rPr>
        <w:t>工作，并且所有费用由乙方承担。</w:t>
      </w:r>
    </w:p>
    <w:p w14:paraId="3714C3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eastAsia="宋体" w:cs="Times New Roman"/>
          <w:highlight w:val="none"/>
          <w:lang w:val="en-US" w:eastAsia="zh-CN"/>
        </w:rPr>
      </w:pPr>
      <w:r>
        <w:rPr>
          <w:rFonts w:hint="eastAsia" w:cs="Times New Roman"/>
          <w:highlight w:val="none"/>
        </w:rPr>
        <w:t>3.</w:t>
      </w:r>
      <w:r>
        <w:rPr>
          <w:rFonts w:hint="eastAsia" w:cs="Times New Roman"/>
          <w:highlight w:val="none"/>
          <w:lang w:val="en-US" w:eastAsia="zh-CN"/>
        </w:rPr>
        <w:t xml:space="preserve">考试期间，如因乙方原因出现以下情形，包括但不限于屏蔽设备实际效果未达到约定标准、设备未按规范接通电源（或断电）、现场技术保障人员失联或响应严重超时、考场内出现手机作弊情况等，均视为乙方服务瑕疵。甲方有权根据该等瑕疵的严重程度及影响范围，按合同约定或双方事先确认的标准，在结算费用中做相应扣减。具体扣减金额应在当次考试的费用确认单中明确列示。 </w:t>
      </w:r>
    </w:p>
    <w:p w14:paraId="322D21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eastAsia" w:cs="Times New Roman"/>
          <w:highlight w:val="none"/>
        </w:rPr>
      </w:pPr>
      <w:r>
        <w:rPr>
          <w:rFonts w:hint="eastAsia" w:cs="Times New Roman"/>
          <w:highlight w:val="none"/>
          <w:lang w:val="en-US" w:eastAsia="zh-CN"/>
        </w:rPr>
        <w:t>4.</w:t>
      </w:r>
      <w:r>
        <w:rPr>
          <w:rFonts w:hint="eastAsia" w:cs="Times New Roman"/>
          <w:highlight w:val="none"/>
        </w:rPr>
        <w:t>乙方违反本合同约定的，应当赔偿由此给甲方造成的损失，包括但不限于直接损失、预期利益损失以及甲方为索赔支付的诉讼费、差旅费、律师费、评估费等全部费用，</w:t>
      </w:r>
      <w:r>
        <w:rPr>
          <w:rFonts w:hint="eastAsia" w:cs="Times New Roman"/>
          <w:highlight w:val="none"/>
          <w:lang w:val="en-US" w:eastAsia="zh-CN"/>
        </w:rPr>
        <w:t>同时乙方应按照</w:t>
      </w:r>
      <w:r>
        <w:rPr>
          <w:rFonts w:hint="eastAsia" w:cs="Times New Roman"/>
          <w:highlight w:val="none"/>
        </w:rPr>
        <w:t>合同总价款</w:t>
      </w:r>
      <w:r>
        <w:rPr>
          <w:rFonts w:hint="eastAsia" w:cs="Times New Roman"/>
          <w:highlight w:val="none"/>
          <w:lang w:val="en-US" w:eastAsia="zh-CN"/>
        </w:rPr>
        <w:t>5%支付甲方违约金。</w:t>
      </w:r>
      <w:r>
        <w:rPr>
          <w:rFonts w:hint="eastAsia" w:cs="Times New Roman"/>
          <w:highlight w:val="none"/>
        </w:rPr>
        <w:t>情节严重的，甲方有权追究相关责任。</w:t>
      </w:r>
    </w:p>
    <w:p w14:paraId="2FF59A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  <w:highlight w:val="none"/>
        </w:rPr>
      </w:pPr>
      <w:r>
        <w:rPr>
          <w:rFonts w:hint="eastAsia" w:cs="Times New Roman"/>
          <w:highlight w:val="none"/>
          <w:lang w:val="en-US" w:eastAsia="zh-CN"/>
        </w:rPr>
        <w:t>5</w:t>
      </w:r>
      <w:r>
        <w:rPr>
          <w:rFonts w:hint="eastAsia" w:cs="Times New Roman"/>
          <w:highlight w:val="none"/>
        </w:rPr>
        <w:t>.如有纠纷，双方友好协商解决，协商不成时可诉讼到甲方所在地人民法院解决。</w:t>
      </w:r>
    </w:p>
    <w:p w14:paraId="23DEED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黑体"/>
          <w:highlight w:val="none"/>
        </w:rPr>
      </w:pPr>
      <w:r>
        <w:rPr>
          <w:rFonts w:hint="eastAsia" w:cs="黑体"/>
          <w:highlight w:val="none"/>
        </w:rPr>
        <w:t>六、保密条款</w:t>
      </w:r>
    </w:p>
    <w:p w14:paraId="68888A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</w:rPr>
      </w:pPr>
      <w:r>
        <w:rPr>
          <w:rFonts w:hint="eastAsia" w:cs="Times New Roman"/>
        </w:rPr>
        <w:t>本合同履行中乙方获悉的相关资料（包括但不限于考试信息、个人信息、商业秘密），乙方负有保密义务，未经甲方书面同意，不得向任何第三方透露，但根据法庭命令、适用法律、对该一方有管辖权的政府或监管机构的合法要求进行的披露除外。乙方违反本合同约定向第三方透露相关资料的，均属违约行为，应向甲方支付合同总价款5% 的违约金，并赔偿甲方相关损失，情节严重的将根据有关法律法规追究乙方和当事人相关责任。</w:t>
      </w:r>
    </w:p>
    <w:p w14:paraId="14DE3D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黑体"/>
        </w:rPr>
      </w:pPr>
      <w:r>
        <w:rPr>
          <w:rFonts w:hint="eastAsia" w:cs="黑体"/>
        </w:rPr>
        <w:t>七、其他事项</w:t>
      </w:r>
    </w:p>
    <w:p w14:paraId="5DBC89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</w:rPr>
      </w:pPr>
      <w:r>
        <w:rPr>
          <w:rFonts w:hint="eastAsia" w:cs="Times New Roman"/>
        </w:rPr>
        <w:t>1.陕西省财政厅政府采购管理处在合同的履行期间以及履行期后，可以随时检查项目的执行情况，对采购标准、采购内容进行调查核实，并对发现的问题进行处理。</w:t>
      </w:r>
    </w:p>
    <w:p w14:paraId="005DAD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</w:rPr>
      </w:pPr>
      <w:r>
        <w:rPr>
          <w:rFonts w:hint="eastAsia" w:cs="Times New Roman"/>
        </w:rPr>
        <w:t>2.本合同一式五份，甲方执三份，乙方执一份，采购代理机构一份，甲乙双方签字盖章后生效。</w:t>
      </w:r>
    </w:p>
    <w:p w14:paraId="7C9239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cs="Times New Roman"/>
        </w:rPr>
      </w:pPr>
      <w:r>
        <w:rPr>
          <w:rFonts w:hint="eastAsia" w:cs="Times New Roman"/>
          <w:lang w:val="en-US" w:eastAsia="zh-CN"/>
        </w:rPr>
        <w:t>3</w:t>
      </w:r>
      <w:r>
        <w:rPr>
          <w:rFonts w:hint="eastAsia" w:cs="Times New Roman"/>
        </w:rPr>
        <w:t xml:space="preserve">.招标文件、投标文件也是合同的组成部分，合同中未约定的以招标文件、投标文件为准。 </w:t>
      </w:r>
    </w:p>
    <w:p w14:paraId="227B84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cs="Times New Roman"/>
        </w:rPr>
      </w:pPr>
    </w:p>
    <w:p w14:paraId="14007F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cs="Times New Roman"/>
        </w:rPr>
      </w:pPr>
      <w:r>
        <w:rPr>
          <w:rFonts w:cs="Times New Roman"/>
        </w:rPr>
        <w:t>甲方：</w:t>
      </w:r>
      <w:r>
        <w:rPr>
          <w:rFonts w:hint="eastAsia" w:cs="Times New Roman"/>
          <w:lang w:val="en-US" w:eastAsia="zh-CN"/>
        </w:rPr>
        <w:t xml:space="preserve">                  </w:t>
      </w:r>
      <w:r>
        <w:rPr>
          <w:rFonts w:cs="Times New Roman"/>
        </w:rPr>
        <w:t xml:space="preserve"> </w:t>
      </w:r>
      <w:r>
        <w:rPr>
          <w:rFonts w:hint="eastAsia" w:cs="Times New Roman"/>
        </w:rPr>
        <w:t xml:space="preserve">         </w:t>
      </w:r>
      <w:r>
        <w:rPr>
          <w:rFonts w:cs="Times New Roman"/>
        </w:rPr>
        <w:t>乙方：</w:t>
      </w:r>
    </w:p>
    <w:p w14:paraId="3519CD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cs="Times New Roman"/>
        </w:rPr>
      </w:pPr>
      <w:r>
        <w:rPr>
          <w:rFonts w:hint="eastAsia" w:cs="Times New Roman"/>
        </w:rPr>
        <w:t>地址：</w:t>
      </w:r>
      <w:r>
        <w:rPr>
          <w:rFonts w:hint="eastAsia" w:cs="Times New Roman"/>
          <w:lang w:val="en-US" w:eastAsia="zh-CN"/>
        </w:rPr>
        <w:t xml:space="preserve">                        </w:t>
      </w:r>
      <w:r>
        <w:rPr>
          <w:rFonts w:hint="eastAsia" w:cs="Times New Roman"/>
        </w:rPr>
        <w:t xml:space="preserve">    地址：</w:t>
      </w:r>
    </w:p>
    <w:p w14:paraId="691E5C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cs="Times New Roman"/>
        </w:rPr>
      </w:pPr>
      <w:r>
        <w:rPr>
          <w:rFonts w:hint="eastAsia" w:cs="Times New Roman"/>
        </w:rPr>
        <w:t>授权联系</w:t>
      </w:r>
      <w:r>
        <w:rPr>
          <w:rFonts w:cs="Times New Roman"/>
        </w:rPr>
        <w:t xml:space="preserve">人：     </w:t>
      </w:r>
      <w:r>
        <w:rPr>
          <w:rFonts w:hint="eastAsia" w:cs="Times New Roman"/>
        </w:rPr>
        <w:t xml:space="preserve">                 法定代表</w:t>
      </w:r>
      <w:r>
        <w:rPr>
          <w:rFonts w:cs="Times New Roman"/>
        </w:rPr>
        <w:t>人：</w:t>
      </w:r>
    </w:p>
    <w:p w14:paraId="065915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cs="Times New Roman"/>
        </w:rPr>
      </w:pPr>
      <w:r>
        <w:rPr>
          <w:rFonts w:hint="eastAsia" w:cs="Times New Roman"/>
        </w:rPr>
        <w:t>联系电话：                        联系电话：</w:t>
      </w:r>
    </w:p>
    <w:p w14:paraId="0F6B67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cs="Times New Roman"/>
          <w:color w:val="000000"/>
        </w:rPr>
      </w:pPr>
      <w:r>
        <w:rPr>
          <w:rFonts w:cs="Times New Roman"/>
        </w:rPr>
        <w:t xml:space="preserve">日期：       </w:t>
      </w:r>
      <w:r>
        <w:rPr>
          <w:rFonts w:hint="eastAsia" w:cs="Times New Roman"/>
        </w:rPr>
        <w:t xml:space="preserve">                     </w:t>
      </w:r>
      <w:r>
        <w:rPr>
          <w:rFonts w:cs="Times New Roman"/>
        </w:rPr>
        <w:t xml:space="preserve">日期：                    </w:t>
      </w:r>
      <w:r>
        <w:rPr>
          <w:rFonts w:cs="Times New Roman"/>
          <w:color w:val="000000"/>
        </w:rPr>
        <w:t xml:space="preserve">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208FD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C5AFC95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5AFC95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3EFC80"/>
    <w:multiLevelType w:val="singleLevel"/>
    <w:tmpl w:val="973EFC8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7757A0B"/>
    <w:multiLevelType w:val="singleLevel"/>
    <w:tmpl w:val="C7757A0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62C53A7"/>
    <w:multiLevelType w:val="multilevel"/>
    <w:tmpl w:val="162C53A7"/>
    <w:lvl w:ilvl="0" w:tentative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3ZjhhOWQ0YjIzNjM0Njc1NmUzZGQ0OTI1NDQ5MjEifQ=="/>
  </w:docVars>
  <w:rsids>
    <w:rsidRoot w:val="00B63AA7"/>
    <w:rsid w:val="001B7472"/>
    <w:rsid w:val="001D79D6"/>
    <w:rsid w:val="00202233"/>
    <w:rsid w:val="003A4CCD"/>
    <w:rsid w:val="003B456C"/>
    <w:rsid w:val="005B1D6A"/>
    <w:rsid w:val="00710F63"/>
    <w:rsid w:val="00730A04"/>
    <w:rsid w:val="007C717F"/>
    <w:rsid w:val="007E2165"/>
    <w:rsid w:val="00815FD3"/>
    <w:rsid w:val="00824AE7"/>
    <w:rsid w:val="00993A40"/>
    <w:rsid w:val="00A44638"/>
    <w:rsid w:val="00A53B67"/>
    <w:rsid w:val="00A55A94"/>
    <w:rsid w:val="00A67FCD"/>
    <w:rsid w:val="00AC3EC4"/>
    <w:rsid w:val="00AE448A"/>
    <w:rsid w:val="00B63AA7"/>
    <w:rsid w:val="00BA7372"/>
    <w:rsid w:val="00C24833"/>
    <w:rsid w:val="00CA743F"/>
    <w:rsid w:val="00CB5A10"/>
    <w:rsid w:val="00DE5A5C"/>
    <w:rsid w:val="00E612A2"/>
    <w:rsid w:val="00EE658A"/>
    <w:rsid w:val="00FE1965"/>
    <w:rsid w:val="012A0989"/>
    <w:rsid w:val="01660B48"/>
    <w:rsid w:val="087B7D1C"/>
    <w:rsid w:val="098826F0"/>
    <w:rsid w:val="0CBE28CD"/>
    <w:rsid w:val="10BC5375"/>
    <w:rsid w:val="1109680C"/>
    <w:rsid w:val="12437AFC"/>
    <w:rsid w:val="12745F08"/>
    <w:rsid w:val="139258D3"/>
    <w:rsid w:val="149B4566"/>
    <w:rsid w:val="160A26DF"/>
    <w:rsid w:val="1732013F"/>
    <w:rsid w:val="173C2D6C"/>
    <w:rsid w:val="1775193B"/>
    <w:rsid w:val="1776627E"/>
    <w:rsid w:val="17D15BAA"/>
    <w:rsid w:val="19287A4C"/>
    <w:rsid w:val="19766A09"/>
    <w:rsid w:val="1AAC298F"/>
    <w:rsid w:val="1AFE6CB6"/>
    <w:rsid w:val="1B7927E1"/>
    <w:rsid w:val="1B7E1BA5"/>
    <w:rsid w:val="1BF155F7"/>
    <w:rsid w:val="1C295FB5"/>
    <w:rsid w:val="1E8F7C25"/>
    <w:rsid w:val="1EE7180F"/>
    <w:rsid w:val="1F3E612A"/>
    <w:rsid w:val="1FFC753C"/>
    <w:rsid w:val="202F16C0"/>
    <w:rsid w:val="22DF59C3"/>
    <w:rsid w:val="235F050E"/>
    <w:rsid w:val="27FA6A57"/>
    <w:rsid w:val="287B7D68"/>
    <w:rsid w:val="28AC3F2E"/>
    <w:rsid w:val="29EC6874"/>
    <w:rsid w:val="2AC82E3D"/>
    <w:rsid w:val="2B2067D5"/>
    <w:rsid w:val="2BB2603C"/>
    <w:rsid w:val="2BFB4B4C"/>
    <w:rsid w:val="2D99286E"/>
    <w:rsid w:val="2E277E7A"/>
    <w:rsid w:val="2E3031D3"/>
    <w:rsid w:val="2E7F3812"/>
    <w:rsid w:val="2E8452CD"/>
    <w:rsid w:val="2F8825B1"/>
    <w:rsid w:val="30DF18F1"/>
    <w:rsid w:val="31FB58A6"/>
    <w:rsid w:val="342E1E87"/>
    <w:rsid w:val="34A044E2"/>
    <w:rsid w:val="34D065DF"/>
    <w:rsid w:val="35327830"/>
    <w:rsid w:val="36457895"/>
    <w:rsid w:val="37267E2C"/>
    <w:rsid w:val="37DA799B"/>
    <w:rsid w:val="393A632B"/>
    <w:rsid w:val="399D36E6"/>
    <w:rsid w:val="39F33E62"/>
    <w:rsid w:val="3A59760D"/>
    <w:rsid w:val="3A685CF6"/>
    <w:rsid w:val="3B0532F1"/>
    <w:rsid w:val="3D156D51"/>
    <w:rsid w:val="3D7A6907"/>
    <w:rsid w:val="3D87623F"/>
    <w:rsid w:val="3F016C74"/>
    <w:rsid w:val="3F343C76"/>
    <w:rsid w:val="3F9D125E"/>
    <w:rsid w:val="3FE94F8F"/>
    <w:rsid w:val="41362E34"/>
    <w:rsid w:val="42426BD9"/>
    <w:rsid w:val="42750D5C"/>
    <w:rsid w:val="43E91A02"/>
    <w:rsid w:val="46E464B1"/>
    <w:rsid w:val="46F024C9"/>
    <w:rsid w:val="480F1C53"/>
    <w:rsid w:val="48147269"/>
    <w:rsid w:val="486C2C02"/>
    <w:rsid w:val="4D8B6D98"/>
    <w:rsid w:val="4E8C7F8E"/>
    <w:rsid w:val="4E915170"/>
    <w:rsid w:val="4F3A75B6"/>
    <w:rsid w:val="4F954A12"/>
    <w:rsid w:val="50746AF7"/>
    <w:rsid w:val="50C17863"/>
    <w:rsid w:val="51600E2A"/>
    <w:rsid w:val="521E31BF"/>
    <w:rsid w:val="537F7C8D"/>
    <w:rsid w:val="53946809"/>
    <w:rsid w:val="5426393F"/>
    <w:rsid w:val="552E2619"/>
    <w:rsid w:val="57D460CD"/>
    <w:rsid w:val="580C7D13"/>
    <w:rsid w:val="5886386C"/>
    <w:rsid w:val="59FE2F2C"/>
    <w:rsid w:val="5AD921D3"/>
    <w:rsid w:val="5CC051CE"/>
    <w:rsid w:val="5D184CAE"/>
    <w:rsid w:val="5D961C24"/>
    <w:rsid w:val="5DEE6D31"/>
    <w:rsid w:val="5DFB2606"/>
    <w:rsid w:val="5E115985"/>
    <w:rsid w:val="5E7128C8"/>
    <w:rsid w:val="5EA845E4"/>
    <w:rsid w:val="5EB153BA"/>
    <w:rsid w:val="5F631EE9"/>
    <w:rsid w:val="5F970D1A"/>
    <w:rsid w:val="5FC52ECB"/>
    <w:rsid w:val="603B7251"/>
    <w:rsid w:val="61204131"/>
    <w:rsid w:val="617C1CB0"/>
    <w:rsid w:val="61A42FB4"/>
    <w:rsid w:val="6271733B"/>
    <w:rsid w:val="650D069A"/>
    <w:rsid w:val="66252916"/>
    <w:rsid w:val="66B9305E"/>
    <w:rsid w:val="67C41CBB"/>
    <w:rsid w:val="684F291F"/>
    <w:rsid w:val="68BC5661"/>
    <w:rsid w:val="692073C4"/>
    <w:rsid w:val="6A0A3094"/>
    <w:rsid w:val="6A7F45BF"/>
    <w:rsid w:val="6AC124E1"/>
    <w:rsid w:val="6B3F31A2"/>
    <w:rsid w:val="6B495939"/>
    <w:rsid w:val="6B4C26F3"/>
    <w:rsid w:val="6B5477F9"/>
    <w:rsid w:val="6B715CB5"/>
    <w:rsid w:val="6BCF0C2E"/>
    <w:rsid w:val="6C117498"/>
    <w:rsid w:val="6CA1081C"/>
    <w:rsid w:val="6DD14348"/>
    <w:rsid w:val="6DD77453"/>
    <w:rsid w:val="6E951FA6"/>
    <w:rsid w:val="6F7044D6"/>
    <w:rsid w:val="7047792D"/>
    <w:rsid w:val="72243351"/>
    <w:rsid w:val="727D2B35"/>
    <w:rsid w:val="7285473C"/>
    <w:rsid w:val="73045661"/>
    <w:rsid w:val="7318110C"/>
    <w:rsid w:val="733A5527"/>
    <w:rsid w:val="7420471D"/>
    <w:rsid w:val="759F5B15"/>
    <w:rsid w:val="75B710B1"/>
    <w:rsid w:val="76236746"/>
    <w:rsid w:val="776F282B"/>
    <w:rsid w:val="798C2BB6"/>
    <w:rsid w:val="7A0F3269"/>
    <w:rsid w:val="7AB14320"/>
    <w:rsid w:val="7B756E5A"/>
    <w:rsid w:val="7B9149EF"/>
    <w:rsid w:val="7D0C1CE2"/>
    <w:rsid w:val="7D2A03BA"/>
    <w:rsid w:val="7DD81BC4"/>
    <w:rsid w:val="7E3037AE"/>
    <w:rsid w:val="7E5576B9"/>
    <w:rsid w:val="7E8A55B4"/>
    <w:rsid w:val="7EB22415"/>
    <w:rsid w:val="7F7E3D32"/>
    <w:rsid w:val="7FB64187"/>
    <w:rsid w:val="7FEE03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qFormat="1" w:unhideWhenUsed="0"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numPr>
        <w:ilvl w:val="1"/>
        <w:numId w:val="1"/>
      </w:numPr>
      <w:spacing w:before="260" w:after="260" w:line="415" w:lineRule="auto"/>
      <w:ind w:left="567"/>
      <w:outlineLvl w:val="1"/>
    </w:pPr>
    <w:rPr>
      <w:rFonts w:ascii="Calibri Light" w:hAnsi="Calibri Light" w:cs="Times New Roman"/>
      <w:b/>
      <w:bCs/>
      <w:sz w:val="30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3" w:lineRule="auto"/>
      <w:jc w:val="center"/>
      <w:outlineLvl w:val="2"/>
    </w:pPr>
    <w:rPr>
      <w:b/>
      <w:bCs/>
      <w:sz w:val="32"/>
      <w:szCs w:val="32"/>
    </w:rPr>
  </w:style>
  <w:style w:type="character" w:default="1" w:styleId="11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unhideWhenUsed/>
    <w:qFormat/>
    <w:uiPriority w:val="0"/>
  </w:style>
  <w:style w:type="paragraph" w:styleId="6">
    <w:name w:val="Body Text"/>
    <w:basedOn w:val="1"/>
    <w:semiHidden/>
    <w:qFormat/>
    <w:uiPriority w:val="0"/>
    <w:rPr>
      <w:rFonts w:ascii="黑体" w:hAnsi="黑体" w:eastAsia="黑体" w:cs="黑体"/>
      <w:sz w:val="26"/>
      <w:szCs w:val="26"/>
      <w:lang w:eastAsia="en-US"/>
    </w:rPr>
  </w:style>
  <w:style w:type="paragraph" w:styleId="7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FollowedHyperlink"/>
    <w:basedOn w:val="11"/>
    <w:unhideWhenUsed/>
    <w:qFormat/>
    <w:uiPriority w:val="99"/>
    <w:rPr>
      <w:color w:val="954F72"/>
      <w:u w:val="single"/>
    </w:rPr>
  </w:style>
  <w:style w:type="character" w:styleId="13">
    <w:name w:val="Hyperlink"/>
    <w:basedOn w:val="11"/>
    <w:qFormat/>
    <w:uiPriority w:val="99"/>
    <w:rPr>
      <w:color w:val="0000FF"/>
      <w:u w:val="single"/>
    </w:rPr>
  </w:style>
  <w:style w:type="character" w:styleId="14">
    <w:name w:val="annotation reference"/>
    <w:basedOn w:val="11"/>
    <w:unhideWhenUsed/>
    <w:qFormat/>
    <w:uiPriority w:val="0"/>
    <w:rPr>
      <w:sz w:val="21"/>
      <w:szCs w:val="21"/>
    </w:rPr>
  </w:style>
  <w:style w:type="character" w:customStyle="1" w:styleId="15">
    <w:name w:val="标题 1 Char"/>
    <w:basedOn w:val="11"/>
    <w:link w:val="2"/>
    <w:qFormat/>
    <w:uiPriority w:val="0"/>
    <w:rPr>
      <w:rFonts w:ascii="宋体" w:hAnsi="宋体" w:cs="宋体"/>
      <w:b/>
      <w:bCs/>
      <w:kern w:val="44"/>
      <w:sz w:val="44"/>
      <w:szCs w:val="44"/>
    </w:rPr>
  </w:style>
  <w:style w:type="character" w:customStyle="1" w:styleId="16">
    <w:name w:val="页脚 Char"/>
    <w:basedOn w:val="11"/>
    <w:link w:val="7"/>
    <w:qFormat/>
    <w:uiPriority w:val="0"/>
    <w:rPr>
      <w:rFonts w:ascii="宋体" w:hAnsi="宋体" w:cs="宋体"/>
      <w:sz w:val="18"/>
      <w:szCs w:val="18"/>
    </w:rPr>
  </w:style>
  <w:style w:type="character" w:customStyle="1" w:styleId="17">
    <w:name w:val="页眉 Char"/>
    <w:basedOn w:val="11"/>
    <w:link w:val="8"/>
    <w:qFormat/>
    <w:uiPriority w:val="0"/>
    <w:rPr>
      <w:rFonts w:ascii="宋体" w:hAnsi="宋体" w:cs="宋体"/>
      <w:sz w:val="18"/>
      <w:szCs w:val="18"/>
    </w:rPr>
  </w:style>
  <w:style w:type="paragraph" w:customStyle="1" w:styleId="18">
    <w:name w:val="列表段落1"/>
    <w:basedOn w:val="1"/>
    <w:qFormat/>
    <w:uiPriority w:val="34"/>
    <w:pPr>
      <w:ind w:firstLine="420" w:firstLineChars="200"/>
    </w:pPr>
  </w:style>
  <w:style w:type="paragraph" w:customStyle="1" w:styleId="19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20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21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22">
    <w:name w:val="xl6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23">
    <w:name w:val="xl66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24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25">
    <w:name w:val="xl68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color w:val="FF0000"/>
      <w:sz w:val="18"/>
      <w:szCs w:val="18"/>
    </w:rPr>
  </w:style>
  <w:style w:type="paragraph" w:customStyle="1" w:styleId="26">
    <w:name w:val="xl69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</w:style>
  <w:style w:type="paragraph" w:customStyle="1" w:styleId="27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</w:style>
  <w:style w:type="paragraph" w:customStyle="1" w:styleId="28">
    <w:name w:val="xl7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29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0">
    <w:name w:val="xl73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color w:val="FF0000"/>
      <w:sz w:val="18"/>
      <w:szCs w:val="18"/>
    </w:rPr>
  </w:style>
  <w:style w:type="paragraph" w:customStyle="1" w:styleId="31">
    <w:name w:val="xl7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both"/>
      <w:textAlignment w:val="center"/>
    </w:pPr>
    <w:rPr>
      <w:b/>
      <w:bCs/>
      <w:color w:val="FF0000"/>
      <w:sz w:val="18"/>
      <w:szCs w:val="18"/>
    </w:rPr>
  </w:style>
  <w:style w:type="paragraph" w:customStyle="1" w:styleId="32">
    <w:name w:val="xl7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both"/>
      <w:textAlignment w:val="center"/>
    </w:pPr>
    <w:rPr>
      <w:b/>
      <w:bCs/>
      <w:color w:val="FF0000"/>
      <w:sz w:val="18"/>
      <w:szCs w:val="18"/>
    </w:rPr>
  </w:style>
  <w:style w:type="paragraph" w:customStyle="1" w:styleId="33">
    <w:name w:val="xl7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b/>
      <w:bCs/>
      <w:color w:val="FF0000"/>
      <w:sz w:val="18"/>
      <w:szCs w:val="18"/>
    </w:rPr>
  </w:style>
  <w:style w:type="paragraph" w:customStyle="1" w:styleId="34">
    <w:name w:val="xl77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5">
    <w:name w:val="xl7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6">
    <w:name w:val="xl79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7">
    <w:name w:val="xl8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38">
    <w:name w:val="xl81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39">
    <w:name w:val="xl82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40">
    <w:name w:val="xl83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color w:val="FF0000"/>
      <w:sz w:val="18"/>
      <w:szCs w:val="18"/>
    </w:rPr>
  </w:style>
  <w:style w:type="paragraph" w:customStyle="1" w:styleId="41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color w:val="FF0000"/>
      <w:sz w:val="18"/>
      <w:szCs w:val="18"/>
    </w:rPr>
  </w:style>
  <w:style w:type="paragraph" w:customStyle="1" w:styleId="42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color w:val="FF0000"/>
      <w:sz w:val="18"/>
      <w:szCs w:val="18"/>
    </w:rPr>
  </w:style>
  <w:style w:type="paragraph" w:customStyle="1" w:styleId="43">
    <w:name w:val="xl86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color w:val="FF0000"/>
      <w:sz w:val="18"/>
      <w:szCs w:val="18"/>
    </w:rPr>
  </w:style>
  <w:style w:type="paragraph" w:customStyle="1" w:styleId="44">
    <w:name w:val="xl87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color w:val="FF0000"/>
      <w:sz w:val="18"/>
      <w:szCs w:val="18"/>
    </w:rPr>
  </w:style>
  <w:style w:type="paragraph" w:customStyle="1" w:styleId="45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color w:val="FF0000"/>
      <w:sz w:val="18"/>
      <w:szCs w:val="18"/>
    </w:rPr>
  </w:style>
  <w:style w:type="paragraph" w:customStyle="1" w:styleId="46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47">
    <w:name w:val="xl9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48">
    <w:name w:val="xl91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both"/>
      <w:textAlignment w:val="center"/>
    </w:pPr>
    <w:rPr>
      <w:color w:val="FF0000"/>
      <w:sz w:val="18"/>
      <w:szCs w:val="18"/>
    </w:rPr>
  </w:style>
  <w:style w:type="paragraph" w:customStyle="1" w:styleId="49">
    <w:name w:val="xl92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both"/>
      <w:textAlignment w:val="center"/>
    </w:pPr>
    <w:rPr>
      <w:color w:val="FF0000"/>
      <w:sz w:val="18"/>
      <w:szCs w:val="18"/>
    </w:rPr>
  </w:style>
  <w:style w:type="paragraph" w:customStyle="1" w:styleId="50">
    <w:name w:val="xl93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color w:val="FF0000"/>
      <w:sz w:val="18"/>
      <w:szCs w:val="18"/>
    </w:rPr>
  </w:style>
  <w:style w:type="table" w:customStyle="1" w:styleId="51">
    <w:name w:val="Table Normal"/>
    <w:unhideWhenUsed/>
    <w:qFormat/>
    <w:uiPriority w:val="0"/>
    <w:rPr>
      <w:rFonts w:ascii="Arial" w:hAnsi="Arial" w:cs="Arial"/>
      <w:snapToGrid w:val="0"/>
      <w:color w:val="000000"/>
      <w:sz w:val="21"/>
      <w:szCs w:val="21"/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2513</Words>
  <Characters>2564</Characters>
  <Lines>18</Lines>
  <Paragraphs>5</Paragraphs>
  <TotalTime>0</TotalTime>
  <ScaleCrop>false</ScaleCrop>
  <LinksUpToDate>false</LinksUpToDate>
  <CharactersWithSpaces>2753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2025-04-23T06:15:00Z</dcterms:created>
  <dc:creator>wcl</dc:creator>
  <cp:lastModifiedBy>风之子</cp:lastModifiedBy>
  <cp:lastPrinted>2025-04-24T00:45:00Z</cp:lastPrinted>
  <dcterms:modified xsi:type="dcterms:W3CDTF">2026-04-14T08:31:54Z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A0ACD901F3F24F89A434A6252BAF5DF4_13</vt:lpwstr>
  </property>
  <property fmtid="{D5CDD505-2E9C-101B-9397-08002B2CF9AE}" pid="4" name="KSOTemplateDocerSaveRecord">
    <vt:lpwstr>eyJoZGlkIjoiMjlhMWYzZmRiYjczOWZmODc4ZTQyNzhhMDM5YzUxMDkiLCJ1c2VySWQiOiIxMTc2MzgzNDQ0In0=</vt:lpwstr>
  </property>
</Properties>
</file>