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DA591">
      <w:pPr>
        <w:pStyle w:val="5"/>
        <w:jc w:val="center"/>
        <w:outlineLvl w:val="1"/>
        <w:rPr>
          <w:rFonts w:hint="eastAsia" w:ascii="宋体" w:hAnsi="宋体" w:eastAsia="宋体" w:cs="宋体"/>
          <w:b/>
          <w:bCs/>
          <w:sz w:val="24"/>
          <w:szCs w:val="24"/>
          <w:lang w:val="en-US"/>
        </w:rPr>
      </w:pPr>
      <w:r>
        <w:rPr>
          <w:rFonts w:ascii="仿宋_GB2312" w:hAnsi="仿宋_GB2312" w:eastAsia="仿宋_GB2312" w:cs="仿宋_GB2312"/>
          <w:b/>
          <w:sz w:val="36"/>
        </w:rPr>
        <w:t>拟签订采购合同文本</w:t>
      </w:r>
      <w:r>
        <w:rPr>
          <w:rFonts w:ascii="仿宋_GB2312" w:hAnsi="仿宋_GB2312" w:eastAsia="仿宋_GB2312" w:cs="仿宋_GB2312"/>
        </w:rPr>
        <w:t xml:space="preserve"> </w:t>
      </w:r>
      <w:r>
        <w:rPr>
          <w:rFonts w:ascii="仿宋_GB2312" w:hAnsi="仿宋_GB2312" w:eastAsia="仿宋_GB2312" w:cs="仿宋_GB2312"/>
        </w:rPr>
        <w:br w:type="textWrapping"/>
      </w:r>
      <w:r>
        <w:rPr>
          <w:rFonts w:hint="eastAsia" w:ascii="宋体" w:hAnsi="宋体" w:eastAsia="宋体" w:cs="宋体"/>
          <w:b/>
          <w:sz w:val="24"/>
          <w:szCs w:val="21"/>
          <w:lang w:eastAsia="zh-CN"/>
        </w:rPr>
        <w:t>高速公路联网收费系统核心数据库运维</w:t>
      </w:r>
    </w:p>
    <w:p w14:paraId="376DB82A">
      <w:pPr>
        <w:spacing w:line="360" w:lineRule="auto"/>
        <w:ind w:firstLine="440" w:firstLineChars="200"/>
        <w:jc w:val="center"/>
        <w:rPr>
          <w:rFonts w:hint="eastAsia" w:ascii="宋体" w:hAnsi="宋体" w:eastAsia="宋体" w:cs="宋体"/>
          <w:kern w:val="0"/>
          <w:sz w:val="22"/>
          <w:szCs w:val="21"/>
          <w:u w:val="single"/>
        </w:rPr>
      </w:pPr>
      <w:r>
        <w:rPr>
          <w:rFonts w:hint="eastAsia" w:ascii="宋体" w:hAnsi="宋体" w:eastAsia="宋体" w:cs="宋体"/>
          <w:sz w:val="22"/>
          <w:szCs w:val="21"/>
        </w:rPr>
        <w:t>（此合同样本仅</w:t>
      </w:r>
      <w:bookmarkStart w:id="0" w:name="_GoBack"/>
      <w:bookmarkEnd w:id="0"/>
      <w:r>
        <w:rPr>
          <w:rFonts w:hint="eastAsia" w:ascii="宋体" w:hAnsi="宋体" w:eastAsia="宋体" w:cs="宋体"/>
          <w:sz w:val="22"/>
          <w:szCs w:val="21"/>
        </w:rPr>
        <w:t>供参考，合同具体细则以双方协定为准）</w:t>
      </w:r>
    </w:p>
    <w:p w14:paraId="19EC149C">
      <w:pPr>
        <w:spacing w:line="480" w:lineRule="auto"/>
        <w:jc w:val="both"/>
        <w:rPr>
          <w:rFonts w:hint="eastAsia" w:ascii="宋体" w:hAnsi="宋体" w:eastAsia="宋体" w:cs="宋体"/>
          <w:b/>
          <w:bCs/>
          <w:sz w:val="22"/>
          <w:szCs w:val="21"/>
        </w:rPr>
      </w:pPr>
      <w:r>
        <w:rPr>
          <w:rFonts w:hint="eastAsia" w:ascii="宋体" w:hAnsi="宋体" w:eastAsia="宋体" w:cs="宋体"/>
          <w:b/>
          <w:bCs/>
          <w:sz w:val="22"/>
          <w:szCs w:val="21"/>
        </w:rPr>
        <w:t>甲方：</w:t>
      </w:r>
      <w:r>
        <w:rPr>
          <w:rFonts w:hint="eastAsia" w:ascii="宋体" w:hAnsi="宋体" w:eastAsia="宋体" w:cs="宋体"/>
          <w:b/>
          <w:bCs/>
          <w:sz w:val="22"/>
          <w:szCs w:val="21"/>
          <w:u w:val="single"/>
          <w:lang w:val="en-US" w:eastAsia="zh-CN"/>
        </w:rPr>
        <w:t>陕西省高速公路收费中心</w:t>
      </w:r>
    </w:p>
    <w:p w14:paraId="0FD2D4B0">
      <w:pPr>
        <w:widowControl/>
        <w:autoSpaceDE w:val="0"/>
        <w:autoSpaceDN w:val="0"/>
        <w:adjustRightInd w:val="0"/>
        <w:snapToGrid w:val="0"/>
        <w:spacing w:line="360" w:lineRule="auto"/>
        <w:textAlignment w:val="baseline"/>
        <w:rPr>
          <w:rFonts w:hint="eastAsia" w:ascii="宋体" w:hAnsi="宋体" w:eastAsia="宋体" w:cs="宋体"/>
          <w:b/>
          <w:bCs/>
          <w:sz w:val="22"/>
          <w:szCs w:val="21"/>
        </w:rPr>
      </w:pPr>
      <w:r>
        <w:rPr>
          <w:rFonts w:hint="eastAsia" w:ascii="宋体" w:hAnsi="宋体" w:eastAsia="宋体" w:cs="宋体"/>
          <w:b/>
          <w:bCs/>
          <w:sz w:val="22"/>
          <w:szCs w:val="21"/>
        </w:rPr>
        <w:t>乙方：</w:t>
      </w:r>
    </w:p>
    <w:p w14:paraId="0138FCA7">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根据《中华人民共和国民法典》、《中华人民共和国政府采购法》及</w:t>
      </w:r>
      <w:r>
        <w:rPr>
          <w:rFonts w:hint="eastAsia" w:ascii="宋体" w:hAnsi="宋体" w:eastAsia="宋体" w:cs="宋体"/>
          <w:sz w:val="22"/>
          <w:szCs w:val="21"/>
          <w:lang w:val="en-US" w:eastAsia="zh-CN"/>
        </w:rPr>
        <w:t>其</w:t>
      </w:r>
      <w:r>
        <w:rPr>
          <w:rFonts w:hint="eastAsia" w:ascii="宋体" w:hAnsi="宋体" w:eastAsia="宋体" w:cs="宋体"/>
          <w:sz w:val="22"/>
          <w:szCs w:val="21"/>
        </w:rPr>
        <w:t>实施条例</w:t>
      </w:r>
      <w:r>
        <w:rPr>
          <w:rFonts w:hint="eastAsia" w:ascii="宋体" w:hAnsi="宋体" w:eastAsia="宋体" w:cs="宋体"/>
          <w:sz w:val="22"/>
          <w:szCs w:val="21"/>
          <w:lang w:eastAsia="zh-CN"/>
        </w:rPr>
        <w:t>、</w:t>
      </w:r>
      <w:r>
        <w:rPr>
          <w:rFonts w:hint="eastAsia" w:ascii="宋体" w:hAnsi="宋体" w:eastAsia="宋体" w:cs="宋体"/>
          <w:sz w:val="22"/>
          <w:szCs w:val="21"/>
          <w:u w:val="single"/>
          <w:lang w:eastAsia="zh-CN"/>
        </w:rPr>
        <w:t>高速公路联网收费系统核心数据库运维</w:t>
      </w:r>
      <w:r>
        <w:rPr>
          <w:rFonts w:hint="eastAsia" w:ascii="宋体" w:hAnsi="宋体" w:eastAsia="宋体" w:cs="宋体"/>
          <w:sz w:val="22"/>
          <w:szCs w:val="21"/>
          <w:u w:val="single"/>
        </w:rPr>
        <w:t>（项目编号：</w:t>
      </w:r>
      <w:r>
        <w:rPr>
          <w:rFonts w:hint="eastAsia" w:ascii="宋体" w:hAnsi="宋体" w:eastAsia="宋体" w:cs="宋体"/>
          <w:sz w:val="22"/>
          <w:szCs w:val="21"/>
          <w:u w:val="single"/>
          <w:lang w:eastAsia="zh-CN"/>
        </w:rPr>
        <w:t>LZBE2026-215</w:t>
      </w:r>
      <w:r>
        <w:rPr>
          <w:rFonts w:hint="eastAsia" w:ascii="宋体" w:hAnsi="宋体" w:eastAsia="宋体" w:cs="宋体"/>
          <w:sz w:val="22"/>
          <w:szCs w:val="21"/>
          <w:u w:val="single"/>
        </w:rPr>
        <w:t>）</w:t>
      </w:r>
      <w:r>
        <w:rPr>
          <w:rFonts w:hint="eastAsia" w:ascii="宋体" w:hAnsi="宋体" w:eastAsia="宋体" w:cs="宋体"/>
          <w:sz w:val="22"/>
          <w:szCs w:val="21"/>
        </w:rPr>
        <w:t>的</w:t>
      </w:r>
      <w:r>
        <w:rPr>
          <w:rFonts w:hint="eastAsia" w:ascii="宋体" w:hAnsi="宋体" w:cs="宋体"/>
          <w:sz w:val="22"/>
          <w:szCs w:val="21"/>
          <w:lang w:val="en-US" w:eastAsia="zh-CN"/>
        </w:rPr>
        <w:t>磋商</w:t>
      </w:r>
      <w:r>
        <w:rPr>
          <w:rFonts w:hint="eastAsia" w:ascii="宋体" w:hAnsi="宋体" w:eastAsia="宋体" w:cs="宋体"/>
          <w:sz w:val="22"/>
          <w:szCs w:val="21"/>
        </w:rPr>
        <w:t>文件、</w:t>
      </w:r>
      <w:r>
        <w:rPr>
          <w:rFonts w:hint="eastAsia" w:ascii="宋体" w:hAnsi="宋体" w:cs="宋体"/>
          <w:sz w:val="22"/>
          <w:szCs w:val="21"/>
          <w:lang w:val="en-US" w:eastAsia="zh-CN"/>
        </w:rPr>
        <w:t>磋商响应</w:t>
      </w:r>
      <w:r>
        <w:rPr>
          <w:rFonts w:hint="eastAsia" w:ascii="宋体" w:hAnsi="宋体" w:eastAsia="宋体" w:cs="宋体"/>
          <w:sz w:val="22"/>
          <w:szCs w:val="21"/>
        </w:rPr>
        <w:t>文件等有关规定，为确保甲方采购项目的顺利实施，甲、乙双方在平等自愿原则下签订本合同，并共同遵守如下条款：</w:t>
      </w:r>
    </w:p>
    <w:p w14:paraId="14BB4496">
      <w:pPr>
        <w:widowControl/>
        <w:autoSpaceDE w:val="0"/>
        <w:autoSpaceDN w:val="0"/>
        <w:adjustRightInd w:val="0"/>
        <w:snapToGrid w:val="0"/>
        <w:spacing w:line="360" w:lineRule="auto"/>
        <w:ind w:firstLine="442" w:firstLineChars="200"/>
        <w:textAlignment w:val="baseline"/>
        <w:rPr>
          <w:rFonts w:hint="eastAsia" w:ascii="宋体" w:hAnsi="宋体" w:eastAsia="宋体" w:cs="宋体"/>
          <w:b/>
          <w:bCs/>
          <w:sz w:val="22"/>
          <w:szCs w:val="21"/>
          <w:u w:val="single"/>
          <w:lang w:eastAsia="zh-CN"/>
        </w:rPr>
      </w:pPr>
      <w:r>
        <w:rPr>
          <w:rFonts w:hint="eastAsia" w:ascii="宋体" w:hAnsi="宋体" w:eastAsia="宋体" w:cs="宋体"/>
          <w:b/>
          <w:bCs/>
          <w:sz w:val="22"/>
          <w:szCs w:val="21"/>
        </w:rPr>
        <w:t>一、服务内容：</w:t>
      </w:r>
    </w:p>
    <w:p w14:paraId="6ADDCE75">
      <w:pPr>
        <w:widowControl/>
        <w:autoSpaceDE w:val="0"/>
        <w:autoSpaceDN w:val="0"/>
        <w:adjustRightInd w:val="0"/>
        <w:snapToGrid w:val="0"/>
        <w:spacing w:line="360" w:lineRule="auto"/>
        <w:ind w:firstLine="442" w:firstLineChars="200"/>
        <w:textAlignment w:val="baseline"/>
        <w:rPr>
          <w:rFonts w:hint="eastAsia" w:ascii="宋体" w:hAnsi="宋体" w:eastAsia="宋体" w:cs="宋体"/>
          <w:b/>
          <w:bCs/>
          <w:sz w:val="22"/>
          <w:szCs w:val="21"/>
        </w:rPr>
      </w:pPr>
      <w:r>
        <w:rPr>
          <w:rFonts w:hint="eastAsia" w:ascii="宋体" w:hAnsi="宋体" w:eastAsia="宋体" w:cs="宋体"/>
          <w:b/>
          <w:bCs/>
          <w:sz w:val="22"/>
          <w:szCs w:val="21"/>
        </w:rPr>
        <w:t>二、合同价款</w:t>
      </w:r>
    </w:p>
    <w:p w14:paraId="3A3493C0">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（一）合同总价款为人民币（大写）</w:t>
      </w:r>
      <w:r>
        <w:rPr>
          <w:rFonts w:hint="eastAsia" w:ascii="宋体" w:hAnsi="宋体" w:eastAsia="宋体" w:cs="宋体"/>
          <w:sz w:val="22"/>
          <w:szCs w:val="21"/>
          <w:u w:val="single"/>
        </w:rPr>
        <w:t xml:space="preserve">         </w:t>
      </w:r>
      <w:r>
        <w:rPr>
          <w:rFonts w:hint="eastAsia" w:ascii="宋体" w:hAnsi="宋体" w:eastAsia="宋体" w:cs="宋体"/>
          <w:sz w:val="22"/>
          <w:szCs w:val="21"/>
        </w:rPr>
        <w:t>(￥</w:t>
      </w:r>
      <w:r>
        <w:rPr>
          <w:rFonts w:hint="eastAsia" w:ascii="宋体" w:hAnsi="宋体" w:eastAsia="宋体" w:cs="宋体"/>
          <w:sz w:val="22"/>
          <w:szCs w:val="21"/>
          <w:u w:val="single"/>
        </w:rPr>
        <w:t xml:space="preserve">          </w:t>
      </w:r>
      <w:r>
        <w:rPr>
          <w:rFonts w:hint="eastAsia" w:ascii="宋体" w:hAnsi="宋体" w:eastAsia="宋体" w:cs="宋体"/>
          <w:sz w:val="22"/>
          <w:szCs w:val="21"/>
        </w:rPr>
        <w:t>) 。</w:t>
      </w:r>
    </w:p>
    <w:p w14:paraId="42C3FB67">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（二）合同总价包括但不限于</w:t>
      </w:r>
      <w:r>
        <w:rPr>
          <w:rFonts w:hint="eastAsia" w:ascii="宋体" w:hAnsi="宋体" w:eastAsia="宋体" w:cs="宋体"/>
          <w:sz w:val="22"/>
          <w:szCs w:val="22"/>
          <w:shd w:val="clear" w:color="auto" w:fill="FFFFFF"/>
        </w:rPr>
        <w:t>实施费用、其他费用以及国家按现行税率征收的一切税费</w:t>
      </w:r>
      <w:r>
        <w:rPr>
          <w:rFonts w:hint="eastAsia" w:ascii="宋体" w:hAnsi="宋体" w:eastAsia="宋体" w:cs="宋体"/>
          <w:sz w:val="22"/>
          <w:szCs w:val="21"/>
        </w:rPr>
        <w:t>。</w:t>
      </w:r>
    </w:p>
    <w:p w14:paraId="436B521B">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（三）合同总价一次性包死。</w:t>
      </w:r>
    </w:p>
    <w:p w14:paraId="566DDDA3">
      <w:pPr>
        <w:widowControl/>
        <w:autoSpaceDE w:val="0"/>
        <w:autoSpaceDN w:val="0"/>
        <w:adjustRightInd w:val="0"/>
        <w:snapToGrid w:val="0"/>
        <w:spacing w:line="360" w:lineRule="auto"/>
        <w:ind w:firstLine="442" w:firstLineChars="200"/>
        <w:textAlignment w:val="baseline"/>
        <w:rPr>
          <w:rFonts w:hint="eastAsia" w:ascii="宋体" w:hAnsi="宋体" w:eastAsia="宋体" w:cs="宋体"/>
          <w:b/>
          <w:bCs/>
          <w:sz w:val="22"/>
          <w:szCs w:val="21"/>
        </w:rPr>
      </w:pPr>
      <w:r>
        <w:rPr>
          <w:rFonts w:hint="eastAsia" w:ascii="宋体" w:hAnsi="宋体" w:eastAsia="宋体" w:cs="宋体"/>
          <w:b/>
          <w:bCs/>
          <w:sz w:val="22"/>
          <w:szCs w:val="21"/>
        </w:rPr>
        <w:t>三、付款方式</w:t>
      </w:r>
    </w:p>
    <w:p w14:paraId="35A86D9C">
      <w:pPr>
        <w:pStyle w:val="2"/>
        <w:ind w:firstLine="420" w:firstLineChars="200"/>
        <w:rPr>
          <w:rFonts w:hint="default" w:eastAsia="宋体"/>
          <w:lang w:val="en-US" w:eastAsia="zh-CN"/>
        </w:rPr>
      </w:pPr>
      <w:r>
        <w:rPr>
          <w:rFonts w:hint="eastAsia"/>
          <w:lang w:val="en-US" w:eastAsia="zh-CN"/>
        </w:rPr>
        <w:t>（一）</w:t>
      </w:r>
    </w:p>
    <w:p w14:paraId="1E3D5955">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（二）支付方式：银行转账。</w:t>
      </w:r>
    </w:p>
    <w:p w14:paraId="6EAAE71D">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（三）结算方式： 乙方在接受付款前开具等额合法有效的发票给甲方。</w:t>
      </w:r>
    </w:p>
    <w:p w14:paraId="07F6D65E">
      <w:pPr>
        <w:widowControl/>
        <w:autoSpaceDE w:val="0"/>
        <w:autoSpaceDN w:val="0"/>
        <w:adjustRightInd w:val="0"/>
        <w:snapToGrid w:val="0"/>
        <w:spacing w:line="360" w:lineRule="auto"/>
        <w:ind w:firstLine="442" w:firstLineChars="200"/>
        <w:textAlignment w:val="baseline"/>
        <w:rPr>
          <w:rFonts w:hint="eastAsia" w:ascii="宋体" w:hAnsi="宋体" w:eastAsia="宋体" w:cs="宋体"/>
          <w:b/>
          <w:bCs/>
          <w:sz w:val="22"/>
          <w:szCs w:val="21"/>
        </w:rPr>
      </w:pPr>
      <w:r>
        <w:rPr>
          <w:rFonts w:hint="eastAsia" w:ascii="宋体" w:hAnsi="宋体" w:eastAsia="宋体" w:cs="宋体"/>
          <w:b/>
          <w:bCs/>
          <w:sz w:val="22"/>
          <w:szCs w:val="21"/>
          <w:lang w:val="en-US" w:eastAsia="zh-CN"/>
        </w:rPr>
        <w:t>四</w:t>
      </w:r>
      <w:r>
        <w:rPr>
          <w:rFonts w:hint="eastAsia" w:ascii="宋体" w:hAnsi="宋体" w:eastAsia="宋体" w:cs="宋体"/>
          <w:b/>
          <w:bCs/>
          <w:sz w:val="22"/>
          <w:szCs w:val="21"/>
        </w:rPr>
        <w:t>、</w:t>
      </w:r>
      <w:r>
        <w:rPr>
          <w:rFonts w:hint="eastAsia" w:ascii="宋体" w:hAnsi="宋体" w:eastAsia="宋体" w:cs="宋体"/>
          <w:b/>
          <w:bCs/>
          <w:sz w:val="22"/>
          <w:szCs w:val="22"/>
          <w:shd w:val="clear" w:color="auto" w:fill="FFFFFF"/>
        </w:rPr>
        <w:t>服务期：</w:t>
      </w:r>
    </w:p>
    <w:p w14:paraId="16F066A4">
      <w:pPr>
        <w:widowControl/>
        <w:autoSpaceDE w:val="0"/>
        <w:autoSpaceDN w:val="0"/>
        <w:adjustRightInd w:val="0"/>
        <w:snapToGrid w:val="0"/>
        <w:spacing w:line="360" w:lineRule="auto"/>
        <w:ind w:firstLine="442" w:firstLineChars="200"/>
        <w:textAlignment w:val="baseline"/>
        <w:rPr>
          <w:rFonts w:hint="eastAsia" w:ascii="宋体" w:hAnsi="宋体" w:eastAsia="宋体" w:cs="宋体"/>
          <w:sz w:val="22"/>
          <w:szCs w:val="21"/>
        </w:rPr>
      </w:pPr>
      <w:r>
        <w:rPr>
          <w:rFonts w:hint="eastAsia" w:ascii="宋体" w:hAnsi="宋体" w:eastAsia="宋体" w:cs="宋体"/>
          <w:b/>
          <w:bCs/>
          <w:sz w:val="22"/>
          <w:szCs w:val="21"/>
          <w:lang w:val="en-US" w:eastAsia="zh-CN"/>
        </w:rPr>
        <w:t>五、服务</w:t>
      </w:r>
      <w:r>
        <w:rPr>
          <w:rFonts w:hint="eastAsia" w:ascii="宋体" w:hAnsi="宋体" w:eastAsia="宋体" w:cs="宋体"/>
          <w:b/>
          <w:bCs/>
          <w:sz w:val="22"/>
          <w:szCs w:val="21"/>
        </w:rPr>
        <w:t>地点：</w:t>
      </w:r>
      <w:r>
        <w:rPr>
          <w:rFonts w:hint="eastAsia" w:ascii="宋体" w:hAnsi="宋体" w:eastAsia="宋体" w:cs="宋体"/>
          <w:b w:val="0"/>
          <w:bCs w:val="0"/>
          <w:sz w:val="22"/>
          <w:szCs w:val="22"/>
          <w:shd w:val="clear" w:color="auto" w:fill="FFFFFF"/>
          <w:lang w:val="en-US" w:eastAsia="zh-CN"/>
        </w:rPr>
        <w:t>陕西省高速公路收费中心</w:t>
      </w:r>
      <w:r>
        <w:rPr>
          <w:rFonts w:hint="eastAsia" w:ascii="宋体" w:hAnsi="宋体" w:eastAsia="宋体" w:cs="宋体"/>
          <w:b w:val="0"/>
          <w:bCs w:val="0"/>
          <w:sz w:val="22"/>
          <w:szCs w:val="21"/>
          <w:lang w:val="en-US" w:eastAsia="zh-CN"/>
        </w:rPr>
        <w:t>。</w:t>
      </w:r>
    </w:p>
    <w:p w14:paraId="2C710C91">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b/>
          <w:bCs/>
          <w:kern w:val="2"/>
          <w:sz w:val="22"/>
          <w:szCs w:val="22"/>
          <w:shd w:val="clear" w:color="auto" w:fill="FFFFFF"/>
          <w:lang w:val="en-US" w:eastAsia="zh-CN" w:bidi="ar-SA"/>
        </w:rPr>
      </w:pPr>
      <w:r>
        <w:rPr>
          <w:rFonts w:hint="eastAsia" w:ascii="宋体" w:hAnsi="宋体" w:eastAsia="宋体" w:cs="宋体"/>
          <w:b/>
          <w:bCs/>
          <w:kern w:val="2"/>
          <w:sz w:val="22"/>
          <w:szCs w:val="22"/>
          <w:lang w:val="en-US" w:eastAsia="zh-CN" w:bidi="ar-SA"/>
        </w:rPr>
        <w:t>六、</w:t>
      </w:r>
      <w:r>
        <w:rPr>
          <w:rFonts w:hint="eastAsia" w:ascii="宋体" w:hAnsi="宋体" w:eastAsia="宋体" w:cs="宋体"/>
          <w:b/>
          <w:bCs/>
          <w:kern w:val="2"/>
          <w:sz w:val="22"/>
          <w:szCs w:val="22"/>
          <w:shd w:val="clear" w:color="auto" w:fill="FFFFFF"/>
          <w:lang w:val="en-US" w:eastAsia="zh-CN" w:bidi="ar-SA"/>
        </w:rPr>
        <w:t>服务承诺：</w:t>
      </w:r>
    </w:p>
    <w:p w14:paraId="7035131D">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shd w:val="clear" w:color="auto" w:fill="FFFFFF"/>
          <w:lang w:val="en-US" w:eastAsia="zh-CN" w:bidi="ar-SA"/>
        </w:rPr>
      </w:pPr>
      <w:r>
        <w:rPr>
          <w:rFonts w:hint="eastAsia" w:ascii="宋体" w:hAnsi="宋体" w:eastAsia="宋体" w:cs="宋体"/>
          <w:kern w:val="2"/>
          <w:sz w:val="22"/>
          <w:szCs w:val="22"/>
          <w:shd w:val="clear" w:color="auto" w:fill="FFFFFF"/>
          <w:lang w:val="en-US" w:eastAsia="zh-CN" w:bidi="ar-SA"/>
        </w:rPr>
        <w:t>乙方需派一名项目经理：姓名：</w:t>
      </w:r>
      <w:r>
        <w:rPr>
          <w:rFonts w:hint="eastAsia" w:ascii="宋体" w:hAnsi="宋体" w:eastAsia="宋体" w:cs="宋体"/>
          <w:kern w:val="2"/>
          <w:sz w:val="22"/>
          <w:szCs w:val="22"/>
          <w:u w:val="single"/>
          <w:shd w:val="clear" w:color="auto" w:fill="FFFFFF"/>
          <w:lang w:val="en-US" w:eastAsia="zh-CN" w:bidi="ar-SA"/>
        </w:rPr>
        <w:t xml:space="preserve">       </w:t>
      </w:r>
      <w:r>
        <w:rPr>
          <w:rFonts w:hint="eastAsia" w:ascii="宋体" w:hAnsi="宋体" w:eastAsia="宋体" w:cs="宋体"/>
          <w:kern w:val="2"/>
          <w:sz w:val="22"/>
          <w:szCs w:val="22"/>
          <w:u w:val="none"/>
          <w:shd w:val="clear" w:color="auto" w:fill="FFFFFF"/>
          <w:lang w:val="en-US" w:eastAsia="zh-CN" w:bidi="ar-SA"/>
        </w:rPr>
        <w:t>性别：</w:t>
      </w:r>
      <w:r>
        <w:rPr>
          <w:rFonts w:hint="eastAsia" w:ascii="宋体" w:hAnsi="宋体" w:eastAsia="宋体" w:cs="宋体"/>
          <w:kern w:val="2"/>
          <w:sz w:val="22"/>
          <w:szCs w:val="22"/>
          <w:u w:val="single"/>
          <w:shd w:val="clear" w:color="auto" w:fill="FFFFFF"/>
          <w:lang w:val="en-US" w:eastAsia="zh-CN" w:bidi="ar-SA"/>
        </w:rPr>
        <w:t xml:space="preserve">         </w:t>
      </w:r>
      <w:r>
        <w:rPr>
          <w:rFonts w:hint="eastAsia" w:ascii="宋体" w:hAnsi="宋体" w:eastAsia="宋体" w:cs="宋体"/>
          <w:kern w:val="2"/>
          <w:sz w:val="22"/>
          <w:szCs w:val="22"/>
          <w:u w:val="none"/>
          <w:shd w:val="clear" w:color="auto" w:fill="FFFFFF"/>
          <w:lang w:val="en-US" w:eastAsia="zh-CN" w:bidi="ar-SA"/>
        </w:rPr>
        <w:t>联系电话：</w:t>
      </w:r>
      <w:r>
        <w:rPr>
          <w:rFonts w:hint="eastAsia" w:ascii="宋体" w:hAnsi="宋体" w:eastAsia="宋体" w:cs="宋体"/>
          <w:kern w:val="2"/>
          <w:sz w:val="22"/>
          <w:szCs w:val="22"/>
          <w:u w:val="single"/>
          <w:shd w:val="clear" w:color="auto" w:fill="FFFFFF"/>
          <w:lang w:val="en-US" w:eastAsia="zh-CN" w:bidi="ar-SA"/>
        </w:rPr>
        <w:t xml:space="preserve">          </w:t>
      </w:r>
      <w:r>
        <w:rPr>
          <w:rFonts w:hint="eastAsia" w:ascii="宋体" w:hAnsi="宋体" w:eastAsia="宋体" w:cs="宋体"/>
          <w:kern w:val="2"/>
          <w:sz w:val="22"/>
          <w:szCs w:val="22"/>
          <w:shd w:val="clear" w:color="auto" w:fill="FFFFFF"/>
          <w:lang w:val="en-US" w:eastAsia="zh-CN" w:bidi="ar-SA"/>
        </w:rPr>
        <w:t>，直接与甲方沟通，项目经理接收甲方提出的问题与要求，并及时向公司申请调动资源，解决在项目实施过程中遇到的问题。</w:t>
      </w:r>
    </w:p>
    <w:p w14:paraId="7F037914">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b/>
          <w:bCs/>
          <w:kern w:val="2"/>
          <w:sz w:val="22"/>
          <w:szCs w:val="22"/>
          <w:shd w:val="clear" w:color="auto" w:fill="FFFFFF"/>
          <w:lang w:val="en-US" w:eastAsia="zh-CN" w:bidi="ar-SA"/>
        </w:rPr>
      </w:pPr>
      <w:r>
        <w:rPr>
          <w:rFonts w:hint="eastAsia" w:ascii="宋体" w:hAnsi="宋体" w:eastAsia="宋体" w:cs="宋体"/>
          <w:b/>
          <w:bCs/>
          <w:kern w:val="2"/>
          <w:sz w:val="22"/>
          <w:szCs w:val="22"/>
          <w:shd w:val="clear" w:color="auto" w:fill="FFFFFF"/>
          <w:lang w:val="en-US" w:eastAsia="zh-CN" w:bidi="ar-SA"/>
        </w:rPr>
        <w:t>七、质量保证</w:t>
      </w:r>
    </w:p>
    <w:p w14:paraId="20B07397">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shd w:val="clear" w:color="auto" w:fill="FFFFFF"/>
          <w:lang w:val="en-US" w:eastAsia="zh-CN" w:bidi="ar-SA"/>
        </w:rPr>
      </w:pPr>
      <w:r>
        <w:rPr>
          <w:rFonts w:hint="eastAsia" w:ascii="宋体" w:hAnsi="宋体" w:eastAsia="宋体" w:cs="宋体"/>
          <w:kern w:val="2"/>
          <w:sz w:val="22"/>
          <w:szCs w:val="22"/>
          <w:shd w:val="clear" w:color="auto" w:fill="FFFFFF"/>
          <w:lang w:val="en-US" w:eastAsia="zh-CN" w:bidi="ar-SA"/>
        </w:rPr>
        <w:t>所有内容按照国家相关规范及标准，确保达到甲方要求。</w:t>
      </w:r>
    </w:p>
    <w:p w14:paraId="21041956">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b/>
          <w:bCs/>
          <w:kern w:val="2"/>
          <w:sz w:val="22"/>
          <w:szCs w:val="22"/>
          <w:lang w:val="en-US" w:eastAsia="zh-CN" w:bidi="ar-SA"/>
        </w:rPr>
      </w:pPr>
      <w:r>
        <w:rPr>
          <w:rFonts w:hint="eastAsia" w:ascii="宋体" w:hAnsi="宋体" w:eastAsia="宋体" w:cs="宋体"/>
          <w:b/>
          <w:bCs/>
          <w:kern w:val="2"/>
          <w:sz w:val="22"/>
          <w:szCs w:val="22"/>
          <w:lang w:val="en-US" w:eastAsia="zh-CN" w:bidi="ar-SA"/>
        </w:rPr>
        <w:t>八、其它事项</w:t>
      </w:r>
    </w:p>
    <w:p w14:paraId="61C7329C">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shd w:val="clear" w:color="auto" w:fill="FFFFFF"/>
          <w:lang w:val="en-US" w:eastAsia="zh-CN" w:bidi="ar-SA"/>
        </w:rPr>
      </w:pPr>
      <w:r>
        <w:rPr>
          <w:rFonts w:hint="eastAsia" w:ascii="宋体" w:hAnsi="宋体" w:eastAsia="宋体" w:cs="宋体"/>
          <w:kern w:val="2"/>
          <w:sz w:val="22"/>
          <w:szCs w:val="22"/>
          <w:shd w:val="clear" w:color="auto" w:fill="FFFFFF"/>
          <w:lang w:val="en-US" w:eastAsia="zh-CN" w:bidi="ar-SA"/>
        </w:rPr>
        <w:t>（一）乙方不得转让、分包给其它单位或个人。</w:t>
      </w:r>
    </w:p>
    <w:p w14:paraId="36A253A3">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shd w:val="clear" w:color="auto" w:fill="FFFFFF"/>
          <w:lang w:val="en-US" w:eastAsia="zh-CN" w:bidi="ar-SA"/>
        </w:rPr>
      </w:pPr>
      <w:r>
        <w:rPr>
          <w:rFonts w:hint="eastAsia" w:ascii="宋体" w:hAnsi="宋体" w:eastAsia="宋体" w:cs="宋体"/>
          <w:kern w:val="2"/>
          <w:sz w:val="22"/>
          <w:szCs w:val="22"/>
          <w:shd w:val="clear" w:color="auto" w:fill="FFFFFF"/>
          <w:lang w:val="en-US" w:eastAsia="zh-CN" w:bidi="ar-SA"/>
        </w:rPr>
        <w:t>（二）乙方的响应文件和承诺等内容将列入合同。</w:t>
      </w:r>
    </w:p>
    <w:p w14:paraId="4AA1D08C">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b/>
          <w:bCs/>
          <w:kern w:val="2"/>
          <w:sz w:val="22"/>
          <w:szCs w:val="22"/>
          <w:lang w:val="en-US" w:eastAsia="zh-CN" w:bidi="ar-SA"/>
        </w:rPr>
      </w:pPr>
      <w:r>
        <w:rPr>
          <w:rFonts w:hint="eastAsia" w:ascii="宋体" w:hAnsi="宋体" w:eastAsia="宋体" w:cs="宋体"/>
          <w:b/>
          <w:bCs/>
          <w:kern w:val="2"/>
          <w:sz w:val="22"/>
          <w:szCs w:val="22"/>
          <w:lang w:val="en-US" w:eastAsia="zh-CN" w:bidi="ar-SA"/>
        </w:rPr>
        <w:t>九、违约责任</w:t>
      </w:r>
    </w:p>
    <w:p w14:paraId="21839C4F">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shd w:val="clear" w:color="auto" w:fill="FFFFFF"/>
          <w:lang w:val="en-US" w:eastAsia="zh-CN" w:bidi="ar-SA"/>
        </w:rPr>
      </w:pPr>
      <w:r>
        <w:rPr>
          <w:rFonts w:hint="eastAsia" w:ascii="宋体" w:hAnsi="宋体" w:eastAsia="宋体" w:cs="宋体"/>
          <w:kern w:val="2"/>
          <w:sz w:val="22"/>
          <w:szCs w:val="22"/>
          <w:shd w:val="clear" w:color="auto" w:fill="FFFFFF"/>
          <w:lang w:val="en-US" w:eastAsia="zh-CN" w:bidi="ar-SA"/>
        </w:rPr>
        <w:t>（一）按</w:t>
      </w:r>
      <w:r>
        <w:rPr>
          <w:rFonts w:hint="eastAsia" w:ascii="宋体" w:hAnsi="宋体" w:eastAsia="宋体" w:cs="宋体"/>
          <w:kern w:val="2"/>
          <w:sz w:val="22"/>
          <w:szCs w:val="22"/>
          <w:lang w:val="en-US" w:eastAsia="zh-CN" w:bidi="ar-SA"/>
        </w:rPr>
        <w:t>《中华人民共和国民法典》</w:t>
      </w:r>
      <w:r>
        <w:rPr>
          <w:rFonts w:hint="eastAsia" w:ascii="宋体" w:hAnsi="宋体" w:eastAsia="宋体" w:cs="宋体"/>
          <w:kern w:val="2"/>
          <w:sz w:val="22"/>
          <w:szCs w:val="22"/>
          <w:shd w:val="clear" w:color="auto" w:fill="FFFFFF"/>
          <w:lang w:val="en-US" w:eastAsia="zh-CN" w:bidi="ar-SA"/>
        </w:rPr>
        <w:t>中的相关条款执行。</w:t>
      </w:r>
    </w:p>
    <w:p w14:paraId="2B012940">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2"/>
          <w:shd w:val="clear" w:color="auto" w:fill="FFFFFF"/>
        </w:rPr>
        <w:t>（二）</w:t>
      </w:r>
      <w:r>
        <w:rPr>
          <w:rFonts w:hint="eastAsia" w:ascii="宋体" w:hAnsi="宋体" w:eastAsia="宋体" w:cs="宋体"/>
          <w:sz w:val="22"/>
          <w:szCs w:val="21"/>
        </w:rPr>
        <w:t>按合同要求提供服务或服务质量不能满足采购技术要求，甲方有权要求乙方整改或完善，乙方必须无条件提高技术，完善服务质量。否则，甲方有权会同监督机构、采购代理机构终止本合同并追究乙方违约的责任，同时按政府采购投标人管理办法进行相应的处罚，给甲方造成损失的还应承担因此造成的所有损失。</w:t>
      </w:r>
    </w:p>
    <w:p w14:paraId="5E61698A">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lang w:eastAsia="zh-CN"/>
        </w:rPr>
        <w:t>（</w:t>
      </w:r>
      <w:r>
        <w:rPr>
          <w:rFonts w:hint="eastAsia" w:ascii="宋体" w:hAnsi="宋体" w:eastAsia="宋体" w:cs="宋体"/>
          <w:sz w:val="22"/>
          <w:szCs w:val="21"/>
          <w:lang w:val="en-US" w:eastAsia="zh-CN"/>
        </w:rPr>
        <w:t>三</w:t>
      </w:r>
      <w:r>
        <w:rPr>
          <w:rFonts w:hint="eastAsia" w:ascii="宋体" w:hAnsi="宋体" w:eastAsia="宋体" w:cs="宋体"/>
          <w:sz w:val="22"/>
          <w:szCs w:val="21"/>
          <w:lang w:eastAsia="zh-CN"/>
        </w:rPr>
        <w:t>）</w:t>
      </w:r>
      <w:r>
        <w:rPr>
          <w:rFonts w:hint="eastAsia" w:ascii="宋体" w:hAnsi="宋体" w:eastAsia="宋体" w:cs="宋体"/>
          <w:sz w:val="22"/>
          <w:szCs w:val="21"/>
        </w:rPr>
        <w:t>任何一方因不可抗力原因不能履行协议时，应尽快通知对方，双方均设法补偿。如仍无法履约协议，可协商延缓或撤销协议，双方责任免除。</w:t>
      </w:r>
    </w:p>
    <w:p w14:paraId="5FD1B08B">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lang w:eastAsia="zh-CN"/>
        </w:rPr>
        <w:t>（</w:t>
      </w:r>
      <w:r>
        <w:rPr>
          <w:rFonts w:hint="eastAsia" w:ascii="宋体" w:hAnsi="宋体" w:eastAsia="宋体" w:cs="宋体"/>
          <w:sz w:val="22"/>
          <w:szCs w:val="21"/>
          <w:lang w:val="en-US" w:eastAsia="zh-CN"/>
        </w:rPr>
        <w:t>四</w:t>
      </w:r>
      <w:r>
        <w:rPr>
          <w:rFonts w:hint="eastAsia" w:ascii="宋体" w:hAnsi="宋体" w:eastAsia="宋体" w:cs="宋体"/>
          <w:sz w:val="22"/>
          <w:szCs w:val="21"/>
          <w:lang w:eastAsia="zh-CN"/>
        </w:rPr>
        <w:t>）</w:t>
      </w:r>
      <w:r>
        <w:rPr>
          <w:rFonts w:hint="eastAsia" w:ascii="宋体" w:hAnsi="宋体" w:eastAsia="宋体" w:cs="宋体"/>
          <w:sz w:val="22"/>
          <w:szCs w:val="21"/>
        </w:rPr>
        <w:t>因供应商原因，未及时提交运维资料的每次扣除维护服务费500元，从当期维护服务费中扣除。</w:t>
      </w:r>
    </w:p>
    <w:p w14:paraId="10F62468">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lang w:eastAsia="zh-CN"/>
        </w:rPr>
        <w:t>（</w:t>
      </w:r>
      <w:r>
        <w:rPr>
          <w:rFonts w:hint="eastAsia" w:ascii="宋体" w:hAnsi="宋体" w:eastAsia="宋体" w:cs="宋体"/>
          <w:sz w:val="22"/>
          <w:szCs w:val="21"/>
          <w:lang w:val="en-US" w:eastAsia="zh-CN"/>
        </w:rPr>
        <w:t>五</w:t>
      </w:r>
      <w:r>
        <w:rPr>
          <w:rFonts w:hint="eastAsia" w:ascii="宋体" w:hAnsi="宋体" w:eastAsia="宋体" w:cs="宋体"/>
          <w:sz w:val="22"/>
          <w:szCs w:val="21"/>
          <w:lang w:eastAsia="zh-CN"/>
        </w:rPr>
        <w:t>）</w:t>
      </w:r>
      <w:r>
        <w:rPr>
          <w:rFonts w:hint="eastAsia" w:ascii="宋体" w:hAnsi="宋体" w:eastAsia="宋体" w:cs="宋体"/>
          <w:sz w:val="22"/>
          <w:szCs w:val="21"/>
        </w:rPr>
        <w:t>出现下列情况，每次扣除维护服务费1000元，从当期维护服务费中扣除。</w:t>
      </w:r>
    </w:p>
    <w:p w14:paraId="66E14A09">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1</w:t>
      </w:r>
      <w:r>
        <w:rPr>
          <w:rFonts w:hint="eastAsia" w:ascii="宋体" w:hAnsi="宋体" w:eastAsia="宋体" w:cs="宋体"/>
          <w:sz w:val="22"/>
          <w:szCs w:val="21"/>
          <w:lang w:eastAsia="zh-CN"/>
        </w:rPr>
        <w:t>、</w:t>
      </w:r>
      <w:r>
        <w:rPr>
          <w:rFonts w:hint="eastAsia" w:ascii="宋体" w:hAnsi="宋体" w:eastAsia="宋体" w:cs="宋体"/>
          <w:sz w:val="22"/>
          <w:szCs w:val="21"/>
        </w:rPr>
        <w:t>供应商提供运维服务，应做好巡检和维护记录，因巡检不到位造成故障不能及时发现处置。</w:t>
      </w:r>
    </w:p>
    <w:p w14:paraId="5098C958">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2</w:t>
      </w:r>
      <w:r>
        <w:rPr>
          <w:rFonts w:hint="eastAsia" w:ascii="宋体" w:hAnsi="宋体" w:eastAsia="宋体" w:cs="宋体"/>
          <w:sz w:val="22"/>
          <w:szCs w:val="21"/>
          <w:lang w:eastAsia="zh-CN"/>
        </w:rPr>
        <w:t>、</w:t>
      </w:r>
      <w:r>
        <w:rPr>
          <w:rFonts w:hint="eastAsia" w:ascii="宋体" w:hAnsi="宋体" w:eastAsia="宋体" w:cs="宋体"/>
          <w:sz w:val="22"/>
          <w:szCs w:val="21"/>
        </w:rPr>
        <w:t>因数据库系统引发的故障，务必做好故障处理等工作，因故障处理不及时，导致系统故障并影响业务运行。</w:t>
      </w:r>
    </w:p>
    <w:p w14:paraId="2D9DAA90">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3</w:t>
      </w:r>
      <w:r>
        <w:rPr>
          <w:rFonts w:hint="eastAsia" w:ascii="宋体" w:hAnsi="宋体" w:eastAsia="宋体" w:cs="宋体"/>
          <w:sz w:val="22"/>
          <w:szCs w:val="21"/>
          <w:lang w:eastAsia="zh-CN"/>
        </w:rPr>
        <w:t>、</w:t>
      </w:r>
      <w:r>
        <w:rPr>
          <w:rFonts w:hint="eastAsia" w:ascii="宋体" w:hAnsi="宋体" w:eastAsia="宋体" w:cs="宋体"/>
          <w:sz w:val="22"/>
          <w:szCs w:val="21"/>
        </w:rPr>
        <w:t>因供应商原因造成的故障并影响业务运行。</w:t>
      </w:r>
    </w:p>
    <w:p w14:paraId="3C7D2ADA">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lang w:eastAsia="zh-CN"/>
        </w:rPr>
        <w:t>（</w:t>
      </w:r>
      <w:r>
        <w:rPr>
          <w:rFonts w:hint="eastAsia" w:ascii="宋体" w:hAnsi="宋体" w:eastAsia="宋体" w:cs="宋体"/>
          <w:sz w:val="22"/>
          <w:szCs w:val="21"/>
          <w:lang w:val="en-US" w:eastAsia="zh-CN"/>
        </w:rPr>
        <w:t>六</w:t>
      </w:r>
      <w:r>
        <w:rPr>
          <w:rFonts w:hint="eastAsia" w:ascii="宋体" w:hAnsi="宋体" w:eastAsia="宋体" w:cs="宋体"/>
          <w:sz w:val="22"/>
          <w:szCs w:val="21"/>
          <w:lang w:eastAsia="zh-CN"/>
        </w:rPr>
        <w:t>）</w:t>
      </w:r>
      <w:r>
        <w:rPr>
          <w:rFonts w:hint="eastAsia" w:ascii="宋体" w:hAnsi="宋体" w:eastAsia="宋体" w:cs="宋体"/>
          <w:sz w:val="22"/>
          <w:szCs w:val="21"/>
        </w:rPr>
        <w:t>出现下列情况，每次扣除维护服务费5000元，从当期维护服务费中扣除。</w:t>
      </w:r>
    </w:p>
    <w:p w14:paraId="3C4285D4">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rPr>
        <w:t>1</w:t>
      </w:r>
      <w:r>
        <w:rPr>
          <w:rFonts w:hint="eastAsia" w:ascii="宋体" w:hAnsi="宋体" w:eastAsia="宋体" w:cs="宋体"/>
          <w:sz w:val="22"/>
          <w:szCs w:val="21"/>
          <w:lang w:eastAsia="zh-CN"/>
        </w:rPr>
        <w:t>、</w:t>
      </w:r>
      <w:r>
        <w:rPr>
          <w:rFonts w:hint="eastAsia" w:ascii="宋体" w:hAnsi="宋体" w:eastAsia="宋体" w:cs="宋体"/>
          <w:sz w:val="22"/>
          <w:szCs w:val="21"/>
        </w:rPr>
        <w:t>数据丢失，由于其他原因（数据库异常，网络异常，硬件设备异常，收费车道产生了不满足给部中心传输要求的数据、收费站交易数据上传延迟等）造成的数据丢失除外；</w:t>
      </w:r>
    </w:p>
    <w:p w14:paraId="73214121">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lang w:eastAsia="zh-CN"/>
        </w:rPr>
      </w:pPr>
      <w:r>
        <w:rPr>
          <w:rFonts w:hint="eastAsia" w:ascii="宋体" w:hAnsi="宋体" w:eastAsia="宋体" w:cs="宋体"/>
          <w:sz w:val="22"/>
          <w:szCs w:val="21"/>
        </w:rPr>
        <w:t>2</w:t>
      </w:r>
      <w:r>
        <w:rPr>
          <w:rFonts w:hint="eastAsia" w:ascii="宋体" w:hAnsi="宋体" w:eastAsia="宋体" w:cs="宋体"/>
          <w:sz w:val="22"/>
          <w:szCs w:val="21"/>
          <w:lang w:eastAsia="zh-CN"/>
        </w:rPr>
        <w:t>、</w:t>
      </w:r>
      <w:r>
        <w:rPr>
          <w:rFonts w:hint="eastAsia" w:ascii="宋体" w:hAnsi="宋体" w:eastAsia="宋体" w:cs="宋体"/>
          <w:sz w:val="22"/>
          <w:szCs w:val="21"/>
        </w:rPr>
        <w:t>应用系统出现弱口令且未按照采购方要求限时整改</w:t>
      </w:r>
      <w:r>
        <w:rPr>
          <w:rFonts w:hint="eastAsia" w:ascii="宋体" w:hAnsi="宋体" w:eastAsia="宋体" w:cs="宋体"/>
          <w:sz w:val="22"/>
          <w:szCs w:val="21"/>
          <w:lang w:eastAsia="zh-CN"/>
        </w:rPr>
        <w:t>。</w:t>
      </w:r>
    </w:p>
    <w:p w14:paraId="6937ED2F">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lang w:eastAsia="zh-CN"/>
        </w:rPr>
        <w:t>（</w:t>
      </w:r>
      <w:r>
        <w:rPr>
          <w:rFonts w:hint="eastAsia" w:ascii="宋体" w:hAnsi="宋体" w:eastAsia="宋体" w:cs="宋体"/>
          <w:sz w:val="22"/>
          <w:szCs w:val="21"/>
          <w:lang w:val="en-US" w:eastAsia="zh-CN"/>
        </w:rPr>
        <w:t>七</w:t>
      </w:r>
      <w:r>
        <w:rPr>
          <w:rFonts w:hint="eastAsia" w:ascii="宋体" w:hAnsi="宋体" w:eastAsia="宋体" w:cs="宋体"/>
          <w:sz w:val="22"/>
          <w:szCs w:val="21"/>
          <w:lang w:eastAsia="zh-CN"/>
        </w:rPr>
        <w:t>）</w:t>
      </w:r>
      <w:r>
        <w:rPr>
          <w:rFonts w:hint="eastAsia" w:ascii="宋体" w:hAnsi="宋体" w:eastAsia="宋体" w:cs="宋体"/>
          <w:sz w:val="22"/>
          <w:szCs w:val="21"/>
        </w:rPr>
        <w:t>供应商如不能及时开具全额发票或采购人要求的保函，采购人有权延时付款且不承担违约责任，直至供应商开具全额发票或开具保函后再进行付款。</w:t>
      </w:r>
    </w:p>
    <w:p w14:paraId="39BC4D1F">
      <w:pPr>
        <w:widowControl/>
        <w:autoSpaceDE w:val="0"/>
        <w:autoSpaceDN w:val="0"/>
        <w:adjustRightInd w:val="0"/>
        <w:snapToGrid w:val="0"/>
        <w:spacing w:line="360" w:lineRule="auto"/>
        <w:ind w:firstLine="440" w:firstLineChars="200"/>
        <w:textAlignment w:val="baseline"/>
        <w:rPr>
          <w:rFonts w:hint="eastAsia" w:eastAsia="宋体"/>
          <w:lang w:eastAsia="zh-CN"/>
        </w:rPr>
      </w:pPr>
      <w:r>
        <w:rPr>
          <w:rFonts w:hint="eastAsia" w:ascii="宋体" w:hAnsi="宋体" w:eastAsia="宋体" w:cs="宋体"/>
          <w:sz w:val="22"/>
          <w:szCs w:val="21"/>
          <w:lang w:eastAsia="zh-CN"/>
        </w:rPr>
        <w:t>（</w:t>
      </w:r>
      <w:r>
        <w:rPr>
          <w:rFonts w:hint="eastAsia" w:ascii="宋体" w:hAnsi="宋体" w:eastAsia="宋体" w:cs="宋体"/>
          <w:sz w:val="22"/>
          <w:szCs w:val="21"/>
          <w:lang w:val="en-US" w:eastAsia="zh-CN"/>
        </w:rPr>
        <w:t>八</w:t>
      </w:r>
      <w:r>
        <w:rPr>
          <w:rFonts w:hint="eastAsia" w:ascii="宋体" w:hAnsi="宋体" w:eastAsia="宋体" w:cs="宋体"/>
          <w:sz w:val="22"/>
          <w:szCs w:val="21"/>
          <w:lang w:eastAsia="zh-CN"/>
        </w:rPr>
        <w:t>）</w:t>
      </w:r>
      <w:r>
        <w:rPr>
          <w:rFonts w:hint="eastAsia" w:ascii="宋体" w:hAnsi="宋体" w:eastAsia="宋体" w:cs="宋体"/>
          <w:sz w:val="22"/>
          <w:szCs w:val="21"/>
        </w:rPr>
        <w:t>因供应商原因，导致合同无法按时签订的，视为对项目的自动放弃，采购方有权取消供应商的中标或成交资格、并有权依据采购文件中的约定及相关法律规定，追究供应商的违约责任。</w:t>
      </w:r>
    </w:p>
    <w:p w14:paraId="68096813">
      <w:pPr>
        <w:widowControl/>
        <w:autoSpaceDE w:val="0"/>
        <w:autoSpaceDN w:val="0"/>
        <w:adjustRightInd w:val="0"/>
        <w:snapToGrid w:val="0"/>
        <w:spacing w:line="360" w:lineRule="auto"/>
        <w:ind w:firstLine="442" w:firstLineChars="200"/>
        <w:textAlignment w:val="baseline"/>
        <w:rPr>
          <w:rFonts w:hint="eastAsia" w:ascii="宋体" w:hAnsi="宋体" w:eastAsia="宋体" w:cs="宋体"/>
          <w:b/>
          <w:bCs/>
          <w:sz w:val="22"/>
          <w:szCs w:val="21"/>
        </w:rPr>
      </w:pPr>
      <w:r>
        <w:rPr>
          <w:rFonts w:hint="eastAsia" w:ascii="宋体" w:hAnsi="宋体" w:eastAsia="宋体" w:cs="宋体"/>
          <w:b/>
          <w:bCs/>
          <w:sz w:val="22"/>
          <w:szCs w:val="22"/>
          <w:lang w:val="en-US" w:eastAsia="zh-CN"/>
        </w:rPr>
        <w:t>十</w:t>
      </w:r>
      <w:r>
        <w:rPr>
          <w:rFonts w:hint="eastAsia" w:ascii="宋体" w:hAnsi="宋体" w:eastAsia="宋体" w:cs="宋体"/>
          <w:b/>
          <w:bCs/>
          <w:sz w:val="22"/>
          <w:szCs w:val="22"/>
        </w:rPr>
        <w:t>、</w:t>
      </w:r>
      <w:r>
        <w:rPr>
          <w:rFonts w:hint="eastAsia" w:ascii="宋体" w:hAnsi="宋体" w:eastAsia="宋体" w:cs="宋体"/>
          <w:b/>
          <w:bCs/>
          <w:sz w:val="22"/>
          <w:szCs w:val="21"/>
        </w:rPr>
        <w:t>保密规定</w:t>
      </w:r>
    </w:p>
    <w:p w14:paraId="328761A5">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rPr>
      </w:pPr>
      <w:r>
        <w:rPr>
          <w:rFonts w:hint="eastAsia" w:ascii="宋体" w:hAnsi="宋体" w:eastAsia="宋体" w:cs="宋体"/>
          <w:sz w:val="22"/>
          <w:szCs w:val="21"/>
          <w:lang w:val="en-US" w:eastAsia="zh-CN"/>
        </w:rPr>
        <w:t>1.</w:t>
      </w:r>
      <w:r>
        <w:rPr>
          <w:rFonts w:hint="eastAsia" w:ascii="宋体" w:hAnsi="宋体" w:eastAsia="宋体" w:cs="宋体"/>
          <w:sz w:val="22"/>
          <w:szCs w:val="21"/>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599F2FD7">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highlight w:val="none"/>
          <w:lang w:val="en-US" w:eastAsia="zh-CN"/>
        </w:rPr>
      </w:pPr>
      <w:r>
        <w:rPr>
          <w:rFonts w:hint="eastAsia" w:ascii="宋体" w:hAnsi="宋体" w:eastAsia="宋体" w:cs="宋体"/>
          <w:sz w:val="22"/>
          <w:szCs w:val="21"/>
          <w:highlight w:val="none"/>
          <w:lang w:val="en-US" w:eastAsia="zh-CN"/>
        </w:rPr>
        <w:t>2.保密要求</w:t>
      </w:r>
    </w:p>
    <w:p w14:paraId="43D8DDEA">
      <w:pPr>
        <w:widowControl/>
        <w:autoSpaceDE w:val="0"/>
        <w:autoSpaceDN w:val="0"/>
        <w:adjustRightInd w:val="0"/>
        <w:snapToGrid w:val="0"/>
        <w:spacing w:line="360" w:lineRule="auto"/>
        <w:ind w:firstLine="440" w:firstLineChars="200"/>
        <w:textAlignment w:val="baseline"/>
        <w:rPr>
          <w:rFonts w:hint="eastAsia" w:ascii="宋体" w:hAnsi="宋体" w:eastAsia="宋体" w:cs="宋体"/>
          <w:sz w:val="22"/>
          <w:szCs w:val="21"/>
          <w:highlight w:val="none"/>
          <w:lang w:val="en-US" w:eastAsia="zh-CN"/>
        </w:rPr>
      </w:pPr>
      <w:r>
        <w:rPr>
          <w:rFonts w:hint="eastAsia" w:ascii="宋体" w:hAnsi="宋体" w:eastAsia="宋体" w:cs="宋体"/>
          <w:sz w:val="22"/>
          <w:szCs w:val="21"/>
          <w:highlight w:val="none"/>
          <w:lang w:val="en-US" w:eastAsia="zh-CN"/>
        </w:rPr>
        <w:t>项目实施过程中所收集、产生的所有与本项目相关的文档、资料，包括文字、图片、表格、数字等各种形式所属权均归属采购人，供应商必须对所涉及到的内容保密，供应商及服务人员应按照要求签署保密协议。</w:t>
      </w:r>
    </w:p>
    <w:p w14:paraId="029492B3">
      <w:pPr>
        <w:keepNext w:val="0"/>
        <w:keepLines w:val="0"/>
        <w:pageBreakBefore w:val="0"/>
        <w:widowControl w:val="0"/>
        <w:kinsoku/>
        <w:wordWrap/>
        <w:overflowPunct/>
        <w:topLinePunct w:val="0"/>
        <w:bidi w:val="0"/>
        <w:snapToGrid w:val="0"/>
        <w:spacing w:line="360" w:lineRule="auto"/>
        <w:ind w:firstLine="442" w:firstLineChars="200"/>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b/>
          <w:bCs/>
          <w:kern w:val="2"/>
          <w:sz w:val="22"/>
          <w:szCs w:val="22"/>
          <w:lang w:val="en-US" w:eastAsia="zh-CN" w:bidi="ar-SA"/>
        </w:rPr>
        <w:t>十一、合同争议解决的方式</w:t>
      </w:r>
    </w:p>
    <w:p w14:paraId="4BCA1882">
      <w:pPr>
        <w:keepNext w:val="0"/>
        <w:keepLines w:val="0"/>
        <w:pageBreakBefore w:val="0"/>
        <w:widowControl w:val="0"/>
        <w:kinsoku/>
        <w:wordWrap/>
        <w:overflowPunct/>
        <w:topLinePunct w:val="0"/>
        <w:bidi w:val="0"/>
        <w:snapToGrid w:val="0"/>
        <w:spacing w:line="360" w:lineRule="auto"/>
        <w:ind w:firstLine="440" w:firstLineChars="200"/>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本合同在履行过程中发生争议的，由甲、乙双方协商解决，协商不成的，双方同意提交甲方所在地人民法院裁决。</w:t>
      </w:r>
    </w:p>
    <w:p w14:paraId="7B9CFA9D">
      <w:pPr>
        <w:keepNext w:val="0"/>
        <w:keepLines w:val="0"/>
        <w:pageBreakBefore w:val="0"/>
        <w:widowControl w:val="0"/>
        <w:numPr>
          <w:ilvl w:val="0"/>
          <w:numId w:val="0"/>
        </w:numPr>
        <w:kinsoku/>
        <w:wordWrap/>
        <w:overflowPunct/>
        <w:topLinePunct w:val="0"/>
        <w:bidi w:val="0"/>
        <w:snapToGrid w:val="0"/>
        <w:spacing w:line="360" w:lineRule="auto"/>
        <w:ind w:firstLine="442" w:firstLineChars="200"/>
        <w:jc w:val="both"/>
        <w:textAlignment w:val="auto"/>
        <w:rPr>
          <w:rFonts w:hint="eastAsia" w:ascii="宋体" w:hAnsi="宋体" w:eastAsia="宋体" w:cs="宋体"/>
          <w:b/>
          <w:bCs/>
          <w:kern w:val="2"/>
          <w:sz w:val="22"/>
          <w:szCs w:val="22"/>
          <w:lang w:val="en-US" w:eastAsia="zh-CN" w:bidi="ar-SA"/>
        </w:rPr>
      </w:pPr>
      <w:r>
        <w:rPr>
          <w:rFonts w:hint="eastAsia" w:ascii="宋体" w:hAnsi="宋体" w:eastAsia="宋体" w:cs="宋体"/>
          <w:b/>
          <w:bCs/>
          <w:kern w:val="2"/>
          <w:sz w:val="22"/>
          <w:szCs w:val="22"/>
          <w:lang w:val="en-US" w:eastAsia="zh-CN" w:bidi="ar-SA"/>
        </w:rPr>
        <w:t>十二、其他事项</w:t>
      </w:r>
    </w:p>
    <w:p w14:paraId="140D4FFA">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b/>
          <w:bCs/>
          <w:kern w:val="2"/>
          <w:sz w:val="22"/>
          <w:szCs w:val="22"/>
          <w:lang w:val="en-US" w:eastAsia="zh-CN" w:bidi="ar-SA"/>
        </w:rPr>
        <w:t xml:space="preserve">    </w:t>
      </w:r>
      <w:r>
        <w:rPr>
          <w:rFonts w:hint="eastAsia" w:ascii="宋体" w:hAnsi="宋体" w:eastAsia="宋体" w:cs="宋体"/>
          <w:kern w:val="2"/>
          <w:sz w:val="22"/>
          <w:szCs w:val="22"/>
          <w:lang w:val="en-US" w:eastAsia="zh-CN" w:bidi="ar-SA"/>
        </w:rPr>
        <w:t>1、本项目不允许分包。</w:t>
      </w:r>
    </w:p>
    <w:p w14:paraId="23297A3D">
      <w:pPr>
        <w:keepNext w:val="0"/>
        <w:keepLines w:val="0"/>
        <w:pageBreakBefore w:val="0"/>
        <w:widowControl w:val="0"/>
        <w:kinsoku/>
        <w:wordWrap/>
        <w:overflowPunct/>
        <w:topLinePunct w:val="0"/>
        <w:bidi w:val="0"/>
        <w:snapToGrid w:val="0"/>
        <w:spacing w:line="360" w:lineRule="auto"/>
        <w:ind w:left="-2" w:leftChars="-1" w:firstLine="440" w:firstLineChars="200"/>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2、本合同一式捌份，甲方执</w:t>
      </w:r>
      <w:r>
        <w:rPr>
          <w:rFonts w:hint="eastAsia" w:ascii="宋体" w:hAnsi="宋体" w:eastAsia="宋体" w:cs="宋体"/>
          <w:b/>
          <w:bCs/>
          <w:kern w:val="2"/>
          <w:sz w:val="22"/>
          <w:szCs w:val="22"/>
          <w:lang w:val="en-US" w:eastAsia="zh-CN" w:bidi="ar-SA"/>
        </w:rPr>
        <w:t>肆</w:t>
      </w:r>
      <w:r>
        <w:rPr>
          <w:rFonts w:hint="eastAsia" w:ascii="宋体" w:hAnsi="宋体" w:eastAsia="宋体" w:cs="宋体"/>
          <w:kern w:val="2"/>
          <w:sz w:val="22"/>
          <w:szCs w:val="22"/>
          <w:lang w:val="en-US" w:eastAsia="zh-CN" w:bidi="ar-SA"/>
        </w:rPr>
        <w:t>份，乙方执</w:t>
      </w:r>
      <w:r>
        <w:rPr>
          <w:rFonts w:hint="eastAsia" w:ascii="宋体" w:hAnsi="宋体" w:eastAsia="宋体" w:cs="宋体"/>
          <w:b/>
          <w:bCs/>
          <w:kern w:val="2"/>
          <w:sz w:val="22"/>
          <w:szCs w:val="22"/>
          <w:lang w:val="en-US" w:eastAsia="zh-CN" w:bidi="ar-SA"/>
        </w:rPr>
        <w:t>肆</w:t>
      </w:r>
      <w:r>
        <w:rPr>
          <w:rFonts w:hint="eastAsia" w:ascii="宋体" w:hAnsi="宋体" w:eastAsia="宋体" w:cs="宋体"/>
          <w:kern w:val="2"/>
          <w:sz w:val="22"/>
          <w:szCs w:val="22"/>
          <w:lang w:val="en-US" w:eastAsia="zh-CN" w:bidi="ar-SA"/>
        </w:rPr>
        <w:t>份，自双签字盖章之日起生效。</w:t>
      </w:r>
    </w:p>
    <w:tbl>
      <w:tblPr>
        <w:tblStyle w:val="3"/>
        <w:tblpPr w:leftFromText="180" w:rightFromText="180" w:vertAnchor="text" w:horzAnchor="page" w:tblpXSpec="center" w:tblpY="30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5"/>
        <w:gridCol w:w="4326"/>
      </w:tblGrid>
      <w:tr w14:paraId="3621D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396A3053">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lang w:eastAsia="zh-CN"/>
              </w:rPr>
            </w:pPr>
            <w:r>
              <w:rPr>
                <w:rFonts w:hint="eastAsia" w:ascii="宋体" w:hAnsi="宋体" w:eastAsia="宋体" w:cs="宋体"/>
                <w:b/>
                <w:color w:val="000000"/>
                <w:sz w:val="22"/>
                <w:szCs w:val="22"/>
              </w:rPr>
              <w:t>甲方：（盖章）陕西省高速公路收费中心</w:t>
            </w:r>
          </w:p>
        </w:tc>
        <w:tc>
          <w:tcPr>
            <w:tcW w:w="4326" w:type="dxa"/>
            <w:noWrap w:val="0"/>
            <w:vAlign w:val="center"/>
          </w:tcPr>
          <w:p w14:paraId="499485CE">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b/>
                <w:color w:val="000000"/>
                <w:sz w:val="22"/>
                <w:szCs w:val="22"/>
              </w:rPr>
              <w:t>乙方：（盖章）</w:t>
            </w:r>
          </w:p>
        </w:tc>
      </w:tr>
      <w:tr w14:paraId="5D5F0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55" w:type="dxa"/>
            <w:noWrap w:val="0"/>
            <w:vAlign w:val="center"/>
          </w:tcPr>
          <w:p w14:paraId="435CDF5B">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sz w:val="22"/>
                <w:szCs w:val="22"/>
              </w:rPr>
            </w:pPr>
          </w:p>
          <w:p w14:paraId="2B107F19">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sz w:val="22"/>
                <w:szCs w:val="22"/>
              </w:rPr>
            </w:pPr>
            <w:r>
              <w:rPr>
                <w:rFonts w:hint="eastAsia" w:ascii="宋体" w:hAnsi="宋体" w:eastAsia="宋体" w:cs="宋体"/>
                <w:sz w:val="22"/>
                <w:szCs w:val="22"/>
              </w:rPr>
              <w:t>法人（签字或盖章）：</w:t>
            </w:r>
          </w:p>
          <w:p w14:paraId="1333AF12">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kern w:val="2"/>
                <w:sz w:val="22"/>
                <w:szCs w:val="22"/>
                <w:lang w:val="en-US" w:eastAsia="zh-CN" w:bidi="ar-SA"/>
              </w:rPr>
            </w:pPr>
          </w:p>
        </w:tc>
        <w:tc>
          <w:tcPr>
            <w:tcW w:w="4326" w:type="dxa"/>
            <w:noWrap w:val="0"/>
            <w:vAlign w:val="center"/>
          </w:tcPr>
          <w:p w14:paraId="00FA33B7">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法人（签字或盖章）：</w:t>
            </w:r>
          </w:p>
        </w:tc>
      </w:tr>
      <w:tr w14:paraId="3A999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0" w:hRule="atLeast"/>
          <w:jc w:val="center"/>
        </w:trPr>
        <w:tc>
          <w:tcPr>
            <w:tcW w:w="4955" w:type="dxa"/>
            <w:noWrap w:val="0"/>
            <w:vAlign w:val="center"/>
          </w:tcPr>
          <w:p w14:paraId="436D7737">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委托代理人：</w:t>
            </w:r>
          </w:p>
        </w:tc>
        <w:tc>
          <w:tcPr>
            <w:tcW w:w="4326" w:type="dxa"/>
            <w:noWrap w:val="0"/>
            <w:vAlign w:val="center"/>
          </w:tcPr>
          <w:p w14:paraId="58044EE2">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委托代理人：</w:t>
            </w:r>
          </w:p>
        </w:tc>
      </w:tr>
      <w:tr w14:paraId="320C6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4955" w:type="dxa"/>
            <w:noWrap w:val="0"/>
            <w:vAlign w:val="center"/>
          </w:tcPr>
          <w:p w14:paraId="20D2703E">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办公地址：</w:t>
            </w:r>
          </w:p>
        </w:tc>
        <w:tc>
          <w:tcPr>
            <w:tcW w:w="4326" w:type="dxa"/>
            <w:noWrap w:val="0"/>
            <w:vAlign w:val="center"/>
          </w:tcPr>
          <w:p w14:paraId="5ACFF1C7">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办公地址：</w:t>
            </w:r>
          </w:p>
        </w:tc>
      </w:tr>
      <w:tr w14:paraId="033EC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4955" w:type="dxa"/>
            <w:noWrap w:val="0"/>
            <w:vAlign w:val="center"/>
          </w:tcPr>
          <w:p w14:paraId="51765AD5">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eastAsia="zh-CN" w:bidi="ar-SA"/>
              </w:rPr>
              <w:t>电    话：</w:t>
            </w:r>
          </w:p>
        </w:tc>
        <w:tc>
          <w:tcPr>
            <w:tcW w:w="4326" w:type="dxa"/>
            <w:noWrap w:val="0"/>
            <w:vAlign w:val="center"/>
          </w:tcPr>
          <w:p w14:paraId="3DB9909B">
            <w:pPr>
              <w:keepNext w:val="0"/>
              <w:keepLines w:val="0"/>
              <w:pageBreakBefore w:val="0"/>
              <w:kinsoku/>
              <w:wordWrap/>
              <w:overflowPunct/>
              <w:topLinePunct w:val="0"/>
              <w:bidi w:val="0"/>
              <w:snapToGrid w:val="0"/>
              <w:spacing w:line="360" w:lineRule="auto"/>
              <w:ind w:left="5520" w:hanging="5060" w:hangingChars="2300"/>
              <w:jc w:val="left"/>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电    话：</w:t>
            </w:r>
          </w:p>
        </w:tc>
      </w:tr>
      <w:tr w14:paraId="15EFA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48262523">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传    真：</w:t>
            </w:r>
          </w:p>
        </w:tc>
        <w:tc>
          <w:tcPr>
            <w:tcW w:w="4326" w:type="dxa"/>
            <w:noWrap w:val="0"/>
            <w:vAlign w:val="center"/>
          </w:tcPr>
          <w:p w14:paraId="163CFD86">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传    真：</w:t>
            </w:r>
          </w:p>
        </w:tc>
      </w:tr>
      <w:tr w14:paraId="486E1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955" w:type="dxa"/>
            <w:noWrap w:val="0"/>
            <w:vAlign w:val="center"/>
          </w:tcPr>
          <w:p w14:paraId="66BBF349">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spacing w:val="20"/>
                <w:kern w:val="2"/>
                <w:sz w:val="22"/>
                <w:szCs w:val="22"/>
                <w:lang w:val="en-US" w:eastAsia="zh-CN" w:bidi="ar-SA"/>
              </w:rPr>
            </w:pPr>
            <w:r>
              <w:rPr>
                <w:rFonts w:hint="eastAsia" w:ascii="宋体" w:hAnsi="宋体" w:eastAsia="宋体" w:cs="宋体"/>
                <w:color w:val="000000"/>
                <w:kern w:val="0"/>
                <w:sz w:val="22"/>
                <w:szCs w:val="22"/>
                <w:lang w:val="en-US" w:eastAsia="zh-CN" w:bidi="ar-SA"/>
              </w:rPr>
              <w:t>开户银行：</w:t>
            </w:r>
          </w:p>
        </w:tc>
        <w:tc>
          <w:tcPr>
            <w:tcW w:w="4326" w:type="dxa"/>
            <w:noWrap w:val="0"/>
            <w:vAlign w:val="center"/>
          </w:tcPr>
          <w:p w14:paraId="4BFCC34E">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开户银行：</w:t>
            </w:r>
          </w:p>
        </w:tc>
      </w:tr>
      <w:tr w14:paraId="71E8E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14:paraId="5434C966">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color w:val="000000"/>
                <w:kern w:val="0"/>
                <w:sz w:val="22"/>
                <w:szCs w:val="22"/>
                <w:lang w:val="en-US" w:eastAsia="zh-CN" w:bidi="ar-SA"/>
              </w:rPr>
              <w:t>帐号：</w:t>
            </w:r>
          </w:p>
        </w:tc>
        <w:tc>
          <w:tcPr>
            <w:tcW w:w="4326" w:type="dxa"/>
            <w:noWrap w:val="0"/>
            <w:vAlign w:val="center"/>
          </w:tcPr>
          <w:p w14:paraId="7F90C320">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账号：</w:t>
            </w:r>
          </w:p>
        </w:tc>
      </w:tr>
      <w:tr w14:paraId="68385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4955" w:type="dxa"/>
            <w:noWrap w:val="0"/>
            <w:vAlign w:val="center"/>
          </w:tcPr>
          <w:p w14:paraId="3FE515DB">
            <w:pPr>
              <w:keepNext w:val="0"/>
              <w:keepLines w:val="0"/>
              <w:pageBreakBefore w:val="0"/>
              <w:widowControl w:val="0"/>
              <w:kinsoku/>
              <w:wordWrap/>
              <w:overflowPunct/>
              <w:topLinePunct w:val="0"/>
              <w:bidi w:val="0"/>
              <w:snapToGrid w:val="0"/>
              <w:spacing w:line="360" w:lineRule="auto"/>
              <w:jc w:val="both"/>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日   期：    年  月  日</w:t>
            </w:r>
          </w:p>
        </w:tc>
        <w:tc>
          <w:tcPr>
            <w:tcW w:w="4326" w:type="dxa"/>
            <w:noWrap w:val="0"/>
            <w:vAlign w:val="center"/>
          </w:tcPr>
          <w:p w14:paraId="1D87CEE1">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2"/>
                <w:szCs w:val="22"/>
              </w:rPr>
            </w:pPr>
            <w:r>
              <w:rPr>
                <w:rFonts w:hint="eastAsia" w:ascii="宋体" w:hAnsi="宋体" w:eastAsia="宋体" w:cs="宋体"/>
                <w:color w:val="000000"/>
                <w:kern w:val="0"/>
                <w:sz w:val="22"/>
                <w:szCs w:val="22"/>
              </w:rPr>
              <w:t>日    期：    年  月  日</w:t>
            </w:r>
          </w:p>
        </w:tc>
      </w:tr>
    </w:tbl>
    <w:p w14:paraId="2E800B6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E349AD"/>
    <w:rsid w:val="72E34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2026-04-14T06:06:00Z</dcterms:created>
  <dc:creator>833</dc:creator>
  <cp:lastModifiedBy>833</cp:lastModifiedBy>
  <dcterms:modified xsi:type="dcterms:W3CDTF">2026-04-14T06:06:32Z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FF1E4190687A4348AE9C5916BA752EF1_11</vt:lpwstr>
  </property>
  <property fmtid="{D5CDD505-2E9C-101B-9397-08002B2CF9AE}" pid="4" name="KSOTemplateDocerSaveRecord">
    <vt:lpwstr>eyJoZGlkIjoiNTI1OGU5NzEwNjlmOTA0NzYwMTIyZGJlNThjMzMxOGYiLCJ1c2VySWQiOiIzMTI3MDEwNzEifQ==</vt:lpwstr>
  </property>
</Properties>
</file>