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版本号：GCZB2026-03-022-Y20260415001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职工食堂米、面、油等食材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GCZB2026-03-022-Y</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职工食堂米、面、油等食材</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GCZB2026-03-022-Y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职工食堂米、面、油等食材</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西北妇女儿童医院职工食堂米、面、油等食材，1批，具体内容详见招标文件第三章技术要求。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成立时间至提交响应文件截止时间不足一年的可提供成立后任意时段的资产负债表)，或开标前十二个月内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9、供应商资质：供应商为制造商的须提供《食品生产许可证》；供应商为经销商的须提供本单位的《食品经营许可证》或仅销售预包装食品备案凭证及所投产品制造商的《食品生产许可证》。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联系电话：029-89289291（504872992@qq.com）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西北妇女儿童医院职工食堂米、面、油等食材，1批，具体内容详见技术要求。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米面油等食材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标的名称：米面油等食材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16"/>
              <w:gridCol w:w="323"/>
              <w:gridCol w:w="1734"/>
              <w:gridCol w:w="270"/>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技术要求</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大米</w:t>
                  </w:r>
                </w:p>
                <w:p>
                  <w:pPr>
                    <w:pStyle w:val="null3"/>
                    <w:jc w:val="both"/>
                  </w:pPr>
                  <w:r>
                    <w:rPr>
                      <w:rFonts w:ascii="仿宋_GB2312" w:hAnsi="仿宋_GB2312" w:cs="仿宋_GB2312" w:eastAsia="仿宋_GB2312"/>
                      <w:sz w:val="20"/>
                      <w:b/>
                    </w:rPr>
                    <w:t>（核心产品）</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1.品种：粳米</w:t>
                  </w:r>
                </w:p>
                <w:p>
                  <w:pPr>
                    <w:pStyle w:val="null3"/>
                  </w:pPr>
                  <w:r>
                    <w:rPr>
                      <w:rFonts w:ascii="仿宋_GB2312" w:hAnsi="仿宋_GB2312" w:cs="仿宋_GB2312" w:eastAsia="仿宋_GB2312"/>
                      <w:sz w:val="20"/>
                    </w:rPr>
                    <w:t>2.质量标准：具有大米固有色泽与香味，无污染、虫害，色泽、气味、口味正常；无异味、霉味；无虫蛀、结块、挂丝或杂质等，执行国家（GB/T 1354-2018）质量标准。</w:t>
                  </w:r>
                </w:p>
                <w:p>
                  <w:pPr>
                    <w:pStyle w:val="null3"/>
                  </w:pPr>
                  <w:r>
                    <w:rPr>
                      <w:rFonts w:ascii="仿宋_GB2312" w:hAnsi="仿宋_GB2312" w:cs="仿宋_GB2312" w:eastAsia="仿宋_GB2312"/>
                      <w:sz w:val="20"/>
                    </w:rPr>
                    <w:t>3.规格：25kg/袋</w:t>
                  </w:r>
                </w:p>
                <w:p>
                  <w:pPr>
                    <w:pStyle w:val="null3"/>
                  </w:pPr>
                  <w:r>
                    <w:rPr>
                      <w:rFonts w:ascii="仿宋_GB2312" w:hAnsi="仿宋_GB2312" w:cs="仿宋_GB2312" w:eastAsia="仿宋_GB2312"/>
                      <w:sz w:val="20"/>
                    </w:rPr>
                    <w:t>4.包装要求：一次性包装。应符合《粮食销售包装》（GB/T17109）要求,包装袋清洁无污渍、无破损、无渗漏。</w:t>
                  </w:r>
                </w:p>
                <w:p>
                  <w:pPr>
                    <w:pStyle w:val="null3"/>
                  </w:pPr>
                  <w:r>
                    <w:rPr>
                      <w:rFonts w:ascii="仿宋_GB2312" w:hAnsi="仿宋_GB2312" w:cs="仿宋_GB2312" w:eastAsia="仿宋_GB2312"/>
                      <w:sz w:val="20"/>
                    </w:rPr>
                    <w:t>5.标识要求：有生产许可证号，注册商标，执行标准；标明产品名称、净含量、质量等级、生产企业名称、电话、地址、生产日期、保质期及营养成分表。</w:t>
                  </w:r>
                </w:p>
                <w:p>
                  <w:pPr>
                    <w:pStyle w:val="null3"/>
                  </w:pPr>
                  <w:r>
                    <w:rPr>
                      <w:rFonts w:ascii="仿宋_GB2312" w:hAnsi="仿宋_GB2312" w:cs="仿宋_GB2312" w:eastAsia="仿宋_GB2312"/>
                      <w:sz w:val="20"/>
                    </w:rPr>
                    <w:t>6.供货时剩余保质期不少于标注保质期三分之二。</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w:t>
                  </w:r>
                  <w:r>
                    <w:rPr>
                      <w:rFonts w:ascii="仿宋_GB2312" w:hAnsi="仿宋_GB2312" w:cs="仿宋_GB2312" w:eastAsia="仿宋_GB2312"/>
                      <w:sz w:val="20"/>
                    </w:rPr>
                    <w:t>0袋</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馒头粉</w:t>
                  </w:r>
                </w:p>
                <w:p>
                  <w:pPr>
                    <w:pStyle w:val="null3"/>
                    <w:jc w:val="both"/>
                  </w:pPr>
                  <w:r>
                    <w:rPr>
                      <w:rFonts w:ascii="仿宋_GB2312" w:hAnsi="仿宋_GB2312" w:cs="仿宋_GB2312" w:eastAsia="仿宋_GB2312"/>
                      <w:sz w:val="20"/>
                    </w:rPr>
                    <w:t>（精制粉）</w:t>
                  </w:r>
                </w:p>
              </w:tc>
              <w:tc>
                <w:tcPr>
                  <w:tcW w:type="dxa" w:w="17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1.质量标准：无污染、虫害，色泽、气味、口味正常；无异味、霉味；无虫蛀、结块、挂丝或杂质异物；色泽呈白色或微黄色；外观呈细粉末状，无杂质，手指捻捏时无粗粒感，放开后不成团； 具有面粉正常气味，无异味。</w:t>
                  </w:r>
                </w:p>
                <w:p>
                  <w:pPr>
                    <w:pStyle w:val="null3"/>
                  </w:pPr>
                  <w:r>
                    <w:rPr>
                      <w:rFonts w:ascii="仿宋_GB2312" w:hAnsi="仿宋_GB2312" w:cs="仿宋_GB2312" w:eastAsia="仿宋_GB2312"/>
                      <w:sz w:val="20"/>
                    </w:rPr>
                    <w:t>小麦面粉执行国家（</w:t>
                  </w:r>
                  <w:r>
                    <w:rPr>
                      <w:rFonts w:ascii="仿宋_GB2312" w:hAnsi="仿宋_GB2312" w:cs="仿宋_GB2312" w:eastAsia="仿宋_GB2312"/>
                      <w:sz w:val="20"/>
                    </w:rPr>
                    <w:t>GB/T 1355-2021）质量标准。高筋小麦粉执行国家（GB/T 8607-1988）标准。精制粉执行国家（GB/T 1355-2021）质量标准。</w:t>
                  </w:r>
                </w:p>
                <w:p>
                  <w:pPr>
                    <w:pStyle w:val="null3"/>
                  </w:pPr>
                  <w:r>
                    <w:rPr>
                      <w:rFonts w:ascii="仿宋_GB2312" w:hAnsi="仿宋_GB2312" w:cs="仿宋_GB2312" w:eastAsia="仿宋_GB2312"/>
                      <w:sz w:val="20"/>
                    </w:rPr>
                    <w:t>2.规格：25kg/袋</w:t>
                  </w:r>
                  <w:r>
                    <w:rPr>
                      <w:rFonts w:ascii="仿宋_GB2312" w:hAnsi="仿宋_GB2312" w:cs="仿宋_GB2312" w:eastAsia="仿宋_GB2312"/>
                      <w:sz w:val="20"/>
                    </w:rPr>
                    <w:t>。</w:t>
                  </w:r>
                </w:p>
                <w:p>
                  <w:pPr>
                    <w:pStyle w:val="null3"/>
                  </w:pPr>
                  <w:r>
                    <w:rPr>
                      <w:rFonts w:ascii="仿宋_GB2312" w:hAnsi="仿宋_GB2312" w:cs="仿宋_GB2312" w:eastAsia="仿宋_GB2312"/>
                      <w:sz w:val="20"/>
                    </w:rPr>
                    <w:t>3.包装要求：一次性包装。应符合《粮食销售包装》（GB/T17109）要求,包装袋清洁无污渍、无破损、无渗漏。</w:t>
                  </w:r>
                </w:p>
                <w:p>
                  <w:pPr>
                    <w:pStyle w:val="null3"/>
                  </w:pPr>
                  <w:r>
                    <w:rPr>
                      <w:rFonts w:ascii="仿宋_GB2312" w:hAnsi="仿宋_GB2312" w:cs="仿宋_GB2312" w:eastAsia="仿宋_GB2312"/>
                      <w:sz w:val="20"/>
                    </w:rPr>
                    <w:t>4.标识要求：有生产许可证号，注册商标，执行标准；标明产品名称、净含量、质量等级、生产企业名称、电话、地址、生产日期、保质期及营养成分表。</w:t>
                  </w:r>
                </w:p>
                <w:p>
                  <w:pPr>
                    <w:pStyle w:val="null3"/>
                  </w:pPr>
                  <w:r>
                    <w:rPr>
                      <w:rFonts w:ascii="仿宋_GB2312" w:hAnsi="仿宋_GB2312" w:cs="仿宋_GB2312" w:eastAsia="仿宋_GB2312"/>
                      <w:sz w:val="20"/>
                    </w:rPr>
                    <w:t>5.供货时剩余保质期不少于标注保质期三分之二</w:t>
                  </w:r>
                  <w:r>
                    <w:rPr>
                      <w:rFonts w:ascii="仿宋_GB2312" w:hAnsi="仿宋_GB2312" w:cs="仿宋_GB2312" w:eastAsia="仿宋_GB2312"/>
                      <w:sz w:val="20"/>
                    </w:rPr>
                    <w:t>。</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r>
                    <w:rPr>
                      <w:rFonts w:ascii="仿宋_GB2312" w:hAnsi="仿宋_GB2312" w:cs="仿宋_GB2312" w:eastAsia="仿宋_GB2312"/>
                      <w:sz w:val="20"/>
                    </w:rPr>
                    <w:t>00袋</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面条粉</w:t>
                  </w:r>
                </w:p>
                <w:p>
                  <w:pPr>
                    <w:pStyle w:val="null3"/>
                    <w:jc w:val="both"/>
                  </w:pPr>
                  <w:r>
                    <w:rPr>
                      <w:rFonts w:ascii="仿宋_GB2312" w:hAnsi="仿宋_GB2312" w:cs="仿宋_GB2312" w:eastAsia="仿宋_GB2312"/>
                      <w:sz w:val="20"/>
                    </w:rPr>
                    <w:t>（高筋小麦粉）</w:t>
                  </w:r>
                </w:p>
              </w:tc>
              <w:tc>
                <w:tcPr>
                  <w:tcW w:type="dxa" w:w="1734"/>
                  <w:vMerge/>
                  <w:tcBorders>
                    <w:top w:val="none" w:color="000000" w:sz="4"/>
                    <w:left w:val="none" w:color="000000" w:sz="4"/>
                    <w:bottom w:val="single" w:color="000000" w:sz="4"/>
                    <w:right w:val="single" w:color="000000" w:sz="4"/>
                  </w:tcBorders>
                </w:tcP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00袋</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大豆油</w:t>
                  </w:r>
                </w:p>
                <w:p>
                  <w:pPr>
                    <w:pStyle w:val="null3"/>
                    <w:jc w:val="both"/>
                  </w:pPr>
                  <w:r>
                    <w:rPr>
                      <w:rFonts w:ascii="仿宋_GB2312" w:hAnsi="仿宋_GB2312" w:cs="仿宋_GB2312" w:eastAsia="仿宋_GB2312"/>
                      <w:sz w:val="20"/>
                    </w:rPr>
                    <w:t>（一级，非转基因）</w:t>
                  </w:r>
                </w:p>
              </w:tc>
              <w:tc>
                <w:tcPr>
                  <w:tcW w:type="dxa" w:w="17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1.质量标准：具有正常植物油的色泽、透明度、气味和滋味，无焦臭、酸败及其它异味。大豆油执行国家（GB/T 1535-2017）质量标准。菜籽油必须符合国家（GB/T 1536-2021）标准。</w:t>
                  </w:r>
                </w:p>
                <w:p>
                  <w:pPr>
                    <w:pStyle w:val="null3"/>
                  </w:pPr>
                  <w:r>
                    <w:rPr>
                      <w:rFonts w:ascii="仿宋_GB2312" w:hAnsi="仿宋_GB2312" w:cs="仿宋_GB2312" w:eastAsia="仿宋_GB2312"/>
                      <w:sz w:val="20"/>
                    </w:rPr>
                    <w:t>2.规格：每桶(件)16.4（±0.5）升</w:t>
                  </w:r>
                  <w:r>
                    <w:rPr>
                      <w:rFonts w:ascii="仿宋_GB2312" w:hAnsi="仿宋_GB2312" w:cs="仿宋_GB2312" w:eastAsia="仿宋_GB2312"/>
                      <w:sz w:val="20"/>
                    </w:rPr>
                    <w:t>。</w:t>
                  </w:r>
                </w:p>
                <w:p>
                  <w:pPr>
                    <w:pStyle w:val="null3"/>
                  </w:pPr>
                  <w:r>
                    <w:rPr>
                      <w:rFonts w:ascii="仿宋_GB2312" w:hAnsi="仿宋_GB2312" w:cs="仿宋_GB2312" w:eastAsia="仿宋_GB2312"/>
                      <w:sz w:val="20"/>
                    </w:rPr>
                    <w:t>3.包装要求：一次性包装，应符合GB7718\GB28050要求，包装桶清洁透明、无污渍，无破损、无渗漏，符合国家食品卫生标准的规定。</w:t>
                  </w:r>
                </w:p>
                <w:p>
                  <w:pPr>
                    <w:pStyle w:val="null3"/>
                  </w:pPr>
                  <w:r>
                    <w:rPr>
                      <w:rFonts w:ascii="仿宋_GB2312" w:hAnsi="仿宋_GB2312" w:cs="仿宋_GB2312" w:eastAsia="仿宋_GB2312"/>
                      <w:sz w:val="20"/>
                    </w:rPr>
                    <w:t>4.标识要求：有生产许可证号，注册商标，执行标准；标明产品名称、净含量、生产企业名称、电话、地址、 生产日期、保质期及营养成分表。</w:t>
                  </w:r>
                </w:p>
                <w:p>
                  <w:pPr>
                    <w:pStyle w:val="null3"/>
                  </w:pPr>
                  <w:r>
                    <w:rPr>
                      <w:rFonts w:ascii="仿宋_GB2312" w:hAnsi="仿宋_GB2312" w:cs="仿宋_GB2312" w:eastAsia="仿宋_GB2312"/>
                      <w:sz w:val="20"/>
                    </w:rPr>
                    <w:t>5.供货时剩余保质期不少于标注保质期三分之二</w:t>
                  </w:r>
                  <w:r>
                    <w:rPr>
                      <w:rFonts w:ascii="仿宋_GB2312" w:hAnsi="仿宋_GB2312" w:cs="仿宋_GB2312" w:eastAsia="仿宋_GB2312"/>
                      <w:sz w:val="20"/>
                    </w:rPr>
                    <w:t>。</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r>
                    <w:rPr>
                      <w:rFonts w:ascii="仿宋_GB2312" w:hAnsi="仿宋_GB2312" w:cs="仿宋_GB2312" w:eastAsia="仿宋_GB2312"/>
                      <w:sz w:val="20"/>
                    </w:rPr>
                    <w:t>00桶</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菜籽油</w:t>
                  </w:r>
                </w:p>
                <w:p>
                  <w:pPr>
                    <w:pStyle w:val="null3"/>
                    <w:jc w:val="both"/>
                  </w:pPr>
                  <w:r>
                    <w:rPr>
                      <w:rFonts w:ascii="仿宋_GB2312" w:hAnsi="仿宋_GB2312" w:cs="仿宋_GB2312" w:eastAsia="仿宋_GB2312"/>
                      <w:sz w:val="20"/>
                    </w:rPr>
                    <w:t>（二级及以上，非转基因）</w:t>
                  </w:r>
                </w:p>
              </w:tc>
              <w:tc>
                <w:tcPr>
                  <w:tcW w:type="dxa" w:w="1734"/>
                  <w:vMerge/>
                  <w:tcBorders>
                    <w:top w:val="none" w:color="000000" w:sz="4"/>
                    <w:left w:val="none" w:color="000000" w:sz="4"/>
                    <w:bottom w:val="single" w:color="000000" w:sz="4"/>
                    <w:right w:val="single" w:color="000000" w:sz="4"/>
                  </w:tcBorders>
                </w:tcP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w:t>
                  </w:r>
                  <w:r>
                    <w:rPr>
                      <w:rFonts w:ascii="仿宋_GB2312" w:hAnsi="仿宋_GB2312" w:cs="仿宋_GB2312" w:eastAsia="仿宋_GB2312"/>
                      <w:sz w:val="20"/>
                    </w:rPr>
                    <w:t>桶</w:t>
                  </w:r>
                </w:p>
              </w:tc>
            </w:tr>
            <w:tr>
              <w:tc>
                <w:tcPr>
                  <w:tcW w:type="dxa" w:w="25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注：清单中数量为预估数量，最终以实际发生数量为准据实结算。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其他要求：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配送要求：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1）中标人必须按照采购人要求的种类、规格进行供货，满足采购人使用需求。所有食材采购均以采购人通知为准，采购人有权根据实际需求量随时调整采购计划及供货时间段；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2）中标人自备送货车，安排专人及时供货，装卸费、送货费用及运输安全由供应商承担；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3）采购人提前两天向中标人申报供货计划，中标人在接到采购人通知后1天内配送到位。中标人负责送货装卸，费用</w:t>
            </w:r>
            <w:r>
              <w:rPr>
                <w:rFonts w:ascii="仿宋_GB2312" w:hAnsi="仿宋_GB2312" w:cs="仿宋_GB2312" w:eastAsia="仿宋_GB2312"/>
                <w:sz w:val="20"/>
              </w:rPr>
              <w:t>由中标人承担</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4）特殊情况下，职工食堂需要的小批量的急用物资，中标人应予以1个小时内解决；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5）中标人提供生产企业的资质证明（首次供应时提供）：《营业执照》、《食品生产许可证》、《产品质量检验报告》；</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6）中标人交货时提供本批次《检验报告》合格报告单；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7）首次配送时，中标人应向采购人提供所有参与配送人员有效健康证；更换人员时需另附有效健康证；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8）出现新疫情时，按照国家相关规定执行。</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退换货要求：</w:t>
            </w:r>
          </w:p>
          <w:p>
            <w:pPr>
              <w:pStyle w:val="null3"/>
            </w:pPr>
            <w:r>
              <w:rPr>
                <w:rFonts w:ascii="仿宋_GB2312" w:hAnsi="仿宋_GB2312" w:cs="仿宋_GB2312" w:eastAsia="仿宋_GB2312"/>
                <w:sz w:val="20"/>
              </w:rPr>
              <w:t>对短斤少两、外包装破损、污损的产品应立即告知中标人配送人员，安排退换。对不符合采购要求的产品，由采购人提出清退，并更换为符合采购要求的产品。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样品</w:t>
            </w:r>
          </w:p>
          <w:p>
            <w:pPr>
              <w:pStyle w:val="null3"/>
            </w:pPr>
            <w:r>
              <w:rPr>
                <w:rFonts w:ascii="仿宋_GB2312" w:hAnsi="仿宋_GB2312" w:cs="仿宋_GB2312" w:eastAsia="仿宋_GB2312"/>
                <w:sz w:val="20"/>
              </w:rPr>
              <w:t>（一）数量</w:t>
            </w:r>
            <w:r>
              <w:rPr>
                <w:rFonts w:ascii="仿宋_GB2312" w:hAnsi="仿宋_GB2312" w:cs="仿宋_GB2312" w:eastAsia="仿宋_GB2312"/>
                <w:sz w:val="20"/>
              </w:rPr>
              <w:t>：</w:t>
            </w:r>
          </w:p>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大米：</w:t>
            </w:r>
            <w:r>
              <w:rPr>
                <w:rFonts w:ascii="仿宋_GB2312" w:hAnsi="仿宋_GB2312" w:cs="仿宋_GB2312" w:eastAsia="仿宋_GB2312"/>
                <w:sz w:val="20"/>
              </w:rPr>
              <w:t>1袋，独立包装，25kg/袋，执行国家（GB/T 1354-2018）质量标准；</w:t>
            </w:r>
          </w:p>
          <w:p>
            <w:pPr>
              <w:pStyle w:val="null3"/>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馒头粉（精制粉）：</w:t>
            </w:r>
            <w:r>
              <w:rPr>
                <w:rFonts w:ascii="仿宋_GB2312" w:hAnsi="仿宋_GB2312" w:cs="仿宋_GB2312" w:eastAsia="仿宋_GB2312"/>
                <w:sz w:val="20"/>
              </w:rPr>
              <w:t>1袋，独立包装，25kg/袋，执行国家（GB/T 1355-2021）质量标准；</w:t>
            </w:r>
          </w:p>
          <w:p>
            <w:pPr>
              <w:pStyle w:val="null3"/>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面条粉（高筋小麦粉）：</w:t>
            </w:r>
            <w:r>
              <w:rPr>
                <w:rFonts w:ascii="仿宋_GB2312" w:hAnsi="仿宋_GB2312" w:cs="仿宋_GB2312" w:eastAsia="仿宋_GB2312"/>
                <w:sz w:val="20"/>
              </w:rPr>
              <w:t>1袋，独立包装，25kg/袋，执行国家（GB/T 8607-1988）标准；</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大豆油（一级，非转基因）：</w:t>
            </w:r>
            <w:r>
              <w:rPr>
                <w:rFonts w:ascii="仿宋_GB2312" w:hAnsi="仿宋_GB2312" w:cs="仿宋_GB2312" w:eastAsia="仿宋_GB2312"/>
                <w:sz w:val="20"/>
              </w:rPr>
              <w:t>1桶，独立包装，5L/桶，执行国家（GB/T 1535-2017）质量标准；</w:t>
            </w:r>
          </w:p>
          <w:p>
            <w:pPr>
              <w:pStyle w:val="null3"/>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菜籽油（二级及以上，非转基因）：</w:t>
            </w:r>
            <w:r>
              <w:rPr>
                <w:rFonts w:ascii="仿宋_GB2312" w:hAnsi="仿宋_GB2312" w:cs="仿宋_GB2312" w:eastAsia="仿宋_GB2312"/>
                <w:sz w:val="20"/>
              </w:rPr>
              <w:t>1桶，独立包装，5L/桶，执行国家（GB/T 1536-2021）标准。</w:t>
            </w:r>
          </w:p>
          <w:p>
            <w:pPr>
              <w:pStyle w:val="null3"/>
            </w:pPr>
            <w:r>
              <w:rPr>
                <w:rFonts w:ascii="仿宋_GB2312" w:hAnsi="仿宋_GB2312" w:cs="仿宋_GB2312" w:eastAsia="仿宋_GB2312"/>
                <w:sz w:val="20"/>
              </w:rPr>
              <w:t>（二）包装：</w:t>
            </w:r>
          </w:p>
          <w:p>
            <w:pPr>
              <w:pStyle w:val="null3"/>
            </w:pPr>
            <w:r>
              <w:rPr>
                <w:rFonts w:ascii="仿宋_GB2312" w:hAnsi="仿宋_GB2312" w:cs="仿宋_GB2312" w:eastAsia="仿宋_GB2312"/>
                <w:sz w:val="20"/>
              </w:rPr>
              <w:t>大米面粉符合《粮食销售包装》（</w:t>
            </w:r>
            <w:r>
              <w:rPr>
                <w:rFonts w:ascii="仿宋_GB2312" w:hAnsi="仿宋_GB2312" w:cs="仿宋_GB2312" w:eastAsia="仿宋_GB2312"/>
                <w:sz w:val="20"/>
              </w:rPr>
              <w:t>GB/T17109）的要求，食用油符合GB7718\GB28050要求。</w:t>
            </w:r>
          </w:p>
          <w:p>
            <w:pPr>
              <w:pStyle w:val="null3"/>
            </w:pPr>
            <w:r>
              <w:rPr>
                <w:rFonts w:ascii="仿宋_GB2312" w:hAnsi="仿宋_GB2312" w:cs="仿宋_GB2312" w:eastAsia="仿宋_GB2312"/>
                <w:sz w:val="20"/>
              </w:rPr>
              <w:t>（三）密封、递交及退还</w:t>
            </w:r>
            <w:r>
              <w:rPr>
                <w:rFonts w:ascii="仿宋_GB2312" w:hAnsi="仿宋_GB2312" w:cs="仿宋_GB2312" w:eastAsia="仿宋_GB2312"/>
                <w:sz w:val="20"/>
              </w:rPr>
              <w:t>：</w:t>
            </w:r>
          </w:p>
          <w:p>
            <w:pPr>
              <w:pStyle w:val="null3"/>
            </w:pPr>
            <w:r>
              <w:rPr>
                <w:rFonts w:ascii="仿宋_GB2312" w:hAnsi="仿宋_GB2312" w:cs="仿宋_GB2312" w:eastAsia="仿宋_GB2312"/>
                <w:sz w:val="20"/>
              </w:rPr>
              <w:t>1.样品密封提交，包装外标注供应商名称及物品名称。</w:t>
            </w:r>
          </w:p>
          <w:p>
            <w:pPr>
              <w:pStyle w:val="null3"/>
            </w:pPr>
            <w:r>
              <w:rPr>
                <w:rFonts w:ascii="仿宋_GB2312" w:hAnsi="仿宋_GB2312" w:cs="仿宋_GB2312" w:eastAsia="仿宋_GB2312"/>
                <w:sz w:val="20"/>
              </w:rPr>
              <w:t>2.后期配送所供货品等必须和投标产品（样品）一致，不得更改。</w:t>
            </w:r>
          </w:p>
          <w:p>
            <w:pPr>
              <w:pStyle w:val="null3"/>
            </w:pPr>
            <w:r>
              <w:rPr>
                <w:rFonts w:ascii="仿宋_GB2312" w:hAnsi="仿宋_GB2312" w:cs="仿宋_GB2312" w:eastAsia="仿宋_GB2312"/>
                <w:sz w:val="20"/>
              </w:rPr>
              <w:t>3.递交：样品的检验报告随样品一起递交。</w:t>
            </w:r>
          </w:p>
          <w:p>
            <w:pPr>
              <w:pStyle w:val="null3"/>
            </w:pPr>
            <w:r>
              <w:rPr>
                <w:rFonts w:ascii="仿宋_GB2312" w:hAnsi="仿宋_GB2312" w:cs="仿宋_GB2312" w:eastAsia="仿宋_GB2312"/>
                <w:sz w:val="20"/>
              </w:rPr>
              <w:t>4.样品的退还办法：中标人的样品由采购人封存保管，作为交货时的验收依据；其余未中标人的样品，在中标公告发出后由代理机构通知7日内自行取回，过期未取视为由代理机构自行处理，后期不得有任何异议。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备注：</w:t>
            </w:r>
            <w:r>
              <w:rPr>
                <w:rFonts w:ascii="仿宋_GB2312" w:hAnsi="仿宋_GB2312" w:cs="仿宋_GB2312" w:eastAsia="仿宋_GB2312"/>
                <w:sz w:val="21"/>
              </w:rPr>
              <w:t>本项目招标文件第三章</w:t>
            </w:r>
            <w:r>
              <w:rPr>
                <w:rFonts w:ascii="仿宋_GB2312" w:hAnsi="仿宋_GB2312" w:cs="仿宋_GB2312" w:eastAsia="仿宋_GB2312"/>
                <w:sz w:val="21"/>
              </w:rPr>
              <w:t>招标项目技术、服务、商务及其它要求中</w:t>
            </w:r>
            <w:r>
              <w:rPr>
                <w:rFonts w:ascii="仿宋_GB2312" w:hAnsi="仿宋_GB2312" w:cs="仿宋_GB2312" w:eastAsia="仿宋_GB2312"/>
                <w:sz w:val="21"/>
              </w:rPr>
              <w:t>3.4商务要求中的“3.4.3支付方式：一次性付清”为系统固定描述内容，具体付款方式以下列内容为准：</w:t>
            </w:r>
            <w:r>
              <w:rPr>
                <w:rFonts w:ascii="仿宋_GB2312" w:hAnsi="仿宋_GB2312" w:cs="仿宋_GB2312" w:eastAsia="仿宋_GB2312"/>
                <w:sz w:val="21"/>
              </w:rPr>
              <w:t>采购人根据实际用量及验收单，采用银行转账的形式结算，供应商根据当月实际配送量，于次月</w:t>
            </w:r>
            <w:r>
              <w:rPr>
                <w:rFonts w:ascii="仿宋_GB2312" w:hAnsi="仿宋_GB2312" w:cs="仿宋_GB2312" w:eastAsia="仿宋_GB2312"/>
                <w:sz w:val="21"/>
              </w:rPr>
              <w:t>5日前提供符合税法规定的等额发票，达到付款条件后30日内支付上月的费用（节假日顺延）</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采购人提前两天向中标人提交供货计划，中标人在接到采购人通知后1天内配送到位。（特殊情况下，职工食堂需要的小批量的急用物资，中标人应在1个小时内予以解决。）</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按照采购人要求在指定地点配送并摆放整齐。</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采购人根据实际用量及验收单，采用银行转账的形式结算，中标人根据当月实际配送量，于次月5日前提供符合税法规定的等额发票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检验包装标识是否标出品名、产地、厂名、生产日期、批号或者代号、规格、配方或者主要成份、保质期限、食用或者使用方法等，防止购进假冒伪劣产品，禁止“三无”产品进入食堂；（2）主要食材中的定型包装食品，如米面油类，中标人需要提供三证，即生产厂家的卫生许可证（若非从厂家直接采购的还需同时提供供货单位的卫生许可证）复印件；批次产品卫生主管部门检验报告；送货人员的健康证明； （3）包装污秽不洁、严重破损、运输工具不洁等造成污染的产品不予验收入库；（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5）食堂采购员、库管员和值班厨师共同对所购食品原辅料的质量、数量进行核对验收，验收合格的及时入库，并在《原料购进验收单》上签字确认。不合格产品应及时退回中标人 ，同时做好验收记录。食堂厨师长不定时抽查。（6）入库时，保管员要清点入库物品的数量、规格，做到数量、规格、品种准确无误，入库时按不同的材质、规格、功能和要求，分类、分别储存，做到账物相符。（7）产品供应渠道正常、稳定且质量有保证，检验手续合法有效，具备完善的管理制度流程，确保食品安全，需提供检验报告等证明材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1.所供食材到货时的保质期期限不少于标注保质期三分之二； 2.不合格产品立即更换。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①按《中华人民共和国民法典》中的相关条款执行。②中标人未按合同要求提供货物或货物质量不能满足国家标准，采购人有权单方解除合同，中标人应按照合同总金额的20%向采购人支付违约金。③如有纠纷，双方友好协商解决，协商不成时可诉讼到采购人所在地人民法院解决。 解决争议的方法①合同一经签订，不得随意变更、中止或终止。对确需变更、调整或者中止、终止合同的，应按规定履行相应的手续。②凡与本合同有关而引起的一切争议，采购人与中标人双方应首先通过友好协商解决，如经协商后仍不能达成协议时，任何一方可以向采购人所在地法院提出诉讼。③本合同的诉讼管辖地采购人所在地的法院。④在进行法院审理期间，除提交法院审理的事项外，合同其他部分仍应继续履行。⑤本合同按照中华人民共和国的法律进行解释。</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1.本项目招标文件第三章 招标项目技术、服务、商务及其它要求中3.4商务要求中的“3.4.3支付方式：一次性付清”为系统固定描述内容，具体付款方式以下列内容为准：采购人根据实际用量及验收单，采用银行转账的形式结算，供应商根据当月实际配送量，于次月5日前提供符合税法规定的等额发票，达到付款条件后30日内支付上月的费用（节假日顺延）。 2.为顺利推进政府采购电子化交易平台应用工作，投标人需要在线提交所有通过电子化交易平台实施的政府采购项目的投标文件，同时，线下提交投标文件正本壹份、电子版壹份（U盘一份标明投标人名称，随正本密封）。若电子投标文件与纸质投标文件不一致的，以电子投标文件为准；线下递交文件时间：详见本项目招标公告文件截止时间；线下递交文件地点：西安市莲湖区高新一路5号正信大厦A座24楼。3.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发送成功后告知此联系方式：029-89286620-808）； 中标服务费查询请联系财务部：029-89286620转808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十二个月内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供应商为制造商的须提供《食品生产许可证》；供应商为经销商的须提供本单位的《食品经营许可证》或仅销售预包装食品备案凭证及所投产品制造商的《食品生产许可证》。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分项报价表-货物.docx 投标函 投标人资格证明文件附件.docx 合同响应偏离表.docx 标的清单 投标文件封面 商务应答表.docx 产品技术参数表.docx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合同响应偏离表.docx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不同供应商的投标文件是否由同一单位或者个人编制</w:t>
            </w:r>
          </w:p>
        </w:tc>
        <w:tc>
          <w:tcPr>
            <w:tcW w:type="dxa" w:w="3322"/>
          </w:tcPr>
          <w:p>
            <w:pPr>
              <w:pStyle w:val="null3"/>
            </w:pPr>
            <w:r>
              <w:rPr>
                <w:rFonts w:ascii="仿宋_GB2312" w:hAnsi="仿宋_GB2312" w:cs="仿宋_GB2312" w:eastAsia="仿宋_GB2312"/>
              </w:rPr>
              <w:t>不同供应商的投标文件不是由同一单位或者个人编制。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不同供应商是否委托同一单位或者个人办理投标事宜</w:t>
            </w:r>
          </w:p>
        </w:tc>
        <w:tc>
          <w:tcPr>
            <w:tcW w:type="dxa" w:w="3322"/>
          </w:tcPr>
          <w:p>
            <w:pPr>
              <w:pStyle w:val="null3"/>
            </w:pPr>
            <w:r>
              <w:rPr>
                <w:rFonts w:ascii="仿宋_GB2312" w:hAnsi="仿宋_GB2312" w:cs="仿宋_GB2312" w:eastAsia="仿宋_GB2312"/>
              </w:rPr>
              <w:t>不同供应商不是委托同一单位或者个人办理投标事宜。</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不同供应商的投标文件载明的项目管理成员或者联系人员是否为同一人</w:t>
            </w:r>
          </w:p>
        </w:tc>
        <w:tc>
          <w:tcPr>
            <w:tcW w:type="dxa" w:w="3322"/>
          </w:tcPr>
          <w:p>
            <w:pPr>
              <w:pStyle w:val="null3"/>
            </w:pPr>
            <w:r>
              <w:rPr>
                <w:rFonts w:ascii="仿宋_GB2312" w:hAnsi="仿宋_GB2312" w:cs="仿宋_GB2312" w:eastAsia="仿宋_GB2312"/>
              </w:rPr>
              <w:t>不同供应商的投标文件载明的项目管理成员或者联系人员不是为同一人。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不同供应商的投标文件是否异常-致或者投标报价未呈规律性差异</w:t>
            </w:r>
          </w:p>
        </w:tc>
        <w:tc>
          <w:tcPr>
            <w:tcW w:type="dxa" w:w="3322"/>
          </w:tcPr>
          <w:p>
            <w:pPr>
              <w:pStyle w:val="null3"/>
            </w:pPr>
            <w:r>
              <w:rPr>
                <w:rFonts w:ascii="仿宋_GB2312" w:hAnsi="仿宋_GB2312" w:cs="仿宋_GB2312" w:eastAsia="仿宋_GB2312"/>
              </w:rPr>
              <w:t>不同供应商的投标文件未发现异常-致或者投标报价未呈规律性差异。</w:t>
            </w:r>
          </w:p>
        </w:tc>
        <w:tc>
          <w:tcPr>
            <w:tcW w:type="dxa" w:w="1661"/>
          </w:tcPr>
          <w:p>
            <w:pPr>
              <w:pStyle w:val="null3"/>
            </w:pPr>
            <w:r>
              <w:rPr>
                <w:rFonts w:ascii="仿宋_GB2312" w:hAnsi="仿宋_GB2312" w:cs="仿宋_GB2312" w:eastAsia="仿宋_GB2312"/>
              </w:rPr>
              <w:t>开标一览表 分项报价表-货物.docx 投标方案说明.docx 标的清单 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不同供应商的投标保证金是否从同单位或者个人的账户转出</w:t>
            </w:r>
          </w:p>
        </w:tc>
        <w:tc>
          <w:tcPr>
            <w:tcW w:type="dxa" w:w="3322"/>
          </w:tcPr>
          <w:p>
            <w:pPr>
              <w:pStyle w:val="null3"/>
            </w:pPr>
            <w:r>
              <w:rPr>
                <w:rFonts w:ascii="仿宋_GB2312" w:hAnsi="仿宋_GB2312" w:cs="仿宋_GB2312" w:eastAsia="仿宋_GB2312"/>
              </w:rPr>
              <w:t>不同供应商的投标保证金不是从同一单位或者个人的账户转出。</w:t>
            </w:r>
          </w:p>
        </w:tc>
        <w:tc>
          <w:tcPr>
            <w:tcW w:type="dxa" w:w="1661"/>
          </w:tcPr>
          <w:p>
            <w:pPr>
              <w:pStyle w:val="null3"/>
            </w:pPr>
            <w:r>
              <w:rPr>
                <w:rFonts w:ascii="仿宋_GB2312" w:hAnsi="仿宋_GB2312" w:cs="仿宋_GB2312" w:eastAsia="仿宋_GB2312"/>
              </w:rPr>
              <w:t>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1.企业具备独立的符合国家标准的仓储场地。提供证明材料得4分，未提供不得分。备注：证明材料包括但不限于场地产权证明或租赁协议复印件。 2.运输车辆配备情况，包括但不限于车辆类型、数量、用途、配置说明、保温保鲜条件、使用年限、车况等，提供车辆证明材料得4分，未提供不得分。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根据本项目的实际需求指定项目管理制度，包含①组织架构②规章制度③职责分工④监督机制等。 以上４项内容完整、不存在瑕疵，得8分；每缺一项扣2分，存在瑕疵的一项扣1分，扣完为止。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产品供应渠道正规、稳定，提供产品来源渠道证明（不限于销售协议/代理协议/购销合同/购货发票等）。证明材料齐全得６分，缺少2个以内得3分，缺少2-4个得1分，缺少4个以上不得分。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要求产品的配送、组织措施完善，并针对本项目特点提出①食品配送方案及配送计划、②配送路线、③配送人员、④车辆调配方案，能确保按时按量按质完成配送工作。 以上４项内容完整、不存在瑕疵，得8分；每缺一项扣2分，存在瑕疵的一项扣1分，扣完为止。 （本项所指“瑕疵”是指内容不完整或缺少关键点；非专门针对本项目或不适用本项目特性、套用其他项目内容；存在逻辑漏洞、科学原理或常识错误；不利于本项目实施、现有技术条件下无法实现等任意一种情形） 备注：证明文件包括但不限于司机驾驶证、配送人员健康证等。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针对本项目可能出现的问题及突发事件，有具体可行的应急措施和解决方案，内容包括但不限于①特殊紧急情况下保证日常供给②需要加急配送③出现质量问题能及时更换等 以上3项内容完整、不存在瑕疵，得6分；每缺一项扣2分，存在瑕疵的一项扣1分，扣完为止。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开标现场提供招标文件要求提供的样品，根据所提供样品的包装、色泽、气味、饱满度及样品的检验报告等进行综合评定得分，每个样品得[0-3]分，共得15分，未提供样品或不全的计0分。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质控措施及质保承诺</w:t>
            </w:r>
          </w:p>
        </w:tc>
        <w:tc>
          <w:tcPr>
            <w:tcW w:type="dxa" w:w="2492"/>
          </w:tcPr>
          <w:p>
            <w:pPr>
              <w:pStyle w:val="null3"/>
            </w:pPr>
            <w:r>
              <w:rPr>
                <w:rFonts w:ascii="仿宋_GB2312" w:hAnsi="仿宋_GB2312" w:cs="仿宋_GB2312" w:eastAsia="仿宋_GB2312"/>
              </w:rPr>
              <w:t>提供合理完善的质量控制措施及承诺，要求措施严谨、实施性强，能够确保服务质量符合招标人要求得4分，不符合要求或未提供不得分。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承诺所投产品的生产日期为最新生产，符合国家食品标准，提供正常工作时间内随时响应的服务热线，产品使用中出现问题，应在30分钟内响应，60分钟内到达现场，12小时解决问题，如不能解决，应提供采购人可以接受的解决方案，并承诺因产品质量或配送造成一切安全问题和后果承担全部责任，承诺内容齐全得5分，不齐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提供供应商2022年1月1日至今(以合同签订时间为准)同类项目业绩，每提供一份有效业绩证明材料，得1分，满分共5分。（注：业绩证明材料以投标文件中所附的合同复印件加盖公章为准。）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对符合政策性扣减的有效投标报价进行政策性扣减，并依据扣减后的价格（评审价格）进行价格评审。2、价格分统一采用低价优先法计算，即满足招标文件要求且投标价格最低的投标报价为评标基准价，其价格分为满分。3、其他投标人的价格分统一按照下列公式计算： 投标报价得分=(评标基准价／投标报价)×35；4、计算分数时四舍五入取小数点后两位。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详见附件：合同响应偏离表.docx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详见附件：投标人资格证明文件附件.docx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