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版本号：GR26-CS-00820260414001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智慧云中心（智慧市监）平台维保项目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GR26-CS-008</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智慧云中心（智慧市监）平台维保项目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GR26-CS-008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智慧云中心（智慧市监）平台维保项目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本项目为陕西省市场监督管理局智慧云中心（智慧市监）平台维保项目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采购包1：2,088,800.00元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代理服务费收费标准：本项目采购代理服务费以采购项目的成交金额作为收费基数，按照国家计委（计价格【2002】1980号）《招标代理服务收费管理暂行办法》规定的服务类收费标准收取。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本项目为陕西省市场监督管理局智慧云中心 （智慧市监）平台维保项目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2,088,800.00</w:t>
      </w:r>
    </w:p>
    <w:p>
      <w:pPr>
        <w:pStyle w:val="null3"/>
      </w:pPr>
      <w:r>
        <w:rPr>
          <w:rFonts w:ascii="仿宋_GB2312" w:hAnsi="仿宋_GB2312" w:cs="仿宋_GB2312" w:eastAsia="仿宋_GB2312"/>
        </w:rPr>
        <w:t>采购包最高限价（元）: 2,088,800.00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陕西省市场监督管理局智慧云中心 （智慧市监）平台维保项目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2,088,800.00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标的名称：陕西省市场监督管理局智慧云中心 （智慧市监）平台维保项目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项目概况</w:t>
                  </w:r>
                </w:p>
                <w:p>
                  <w:pPr>
                    <w:pStyle w:val="null3"/>
                    <w:numPr>
                      <w:ilvl w:val="1"/>
                      <w:numId w:val="1"/>
                    </w:numPr>
                    <w:jc w:val="both"/>
                  </w:pPr>
                  <w:r>
                    <w:rPr>
                      <w:rFonts w:ascii="仿宋_GB2312" w:hAnsi="仿宋_GB2312" w:cs="仿宋_GB2312" w:eastAsia="仿宋_GB2312"/>
                      <w:sz w:val="21"/>
                      <w:b/>
                    </w:rPr>
                    <w:t>项目名称</w:t>
                  </w:r>
                </w:p>
                <w:p>
                  <w:pPr>
                    <w:pStyle w:val="null3"/>
                    <w:ind w:firstLine="420"/>
                    <w:jc w:val="both"/>
                  </w:pPr>
                  <w:r>
                    <w:rPr>
                      <w:rFonts w:ascii="仿宋_GB2312" w:hAnsi="仿宋_GB2312" w:cs="仿宋_GB2312" w:eastAsia="仿宋_GB2312"/>
                      <w:sz w:val="21"/>
                    </w:rPr>
                    <w:t>陕西省市场监督管理局智慧云中心（智慧市监）平台维保项目</w:t>
                  </w:r>
                </w:p>
                <w:p>
                  <w:pPr>
                    <w:pStyle w:val="null3"/>
                    <w:numPr>
                      <w:ilvl w:val="1"/>
                      <w:numId w:val="1"/>
                    </w:numPr>
                    <w:jc w:val="both"/>
                  </w:pPr>
                  <w:r>
                    <w:rPr>
                      <w:rFonts w:ascii="仿宋_GB2312" w:hAnsi="仿宋_GB2312" w:cs="仿宋_GB2312" w:eastAsia="仿宋_GB2312"/>
                      <w:sz w:val="21"/>
                      <w:b/>
                    </w:rPr>
                    <w:t>项目金额</w:t>
                  </w:r>
                </w:p>
                <w:p>
                  <w:pPr>
                    <w:pStyle w:val="null3"/>
                    <w:ind w:firstLine="480"/>
                    <w:jc w:val="both"/>
                  </w:pPr>
                  <w:r>
                    <w:rPr>
                      <w:rFonts w:ascii="仿宋_GB2312" w:hAnsi="仿宋_GB2312" w:cs="仿宋_GB2312" w:eastAsia="仿宋_GB2312"/>
                      <w:sz w:val="21"/>
                    </w:rPr>
                    <w:t>208.88</w:t>
                  </w:r>
                  <w:r>
                    <w:rPr>
                      <w:rFonts w:ascii="仿宋_GB2312" w:hAnsi="仿宋_GB2312" w:cs="仿宋_GB2312" w:eastAsia="仿宋_GB2312"/>
                      <w:sz w:val="21"/>
                    </w:rPr>
                    <w:t>万元</w:t>
                  </w:r>
                </w:p>
                <w:p>
                  <w:pPr>
                    <w:pStyle w:val="null3"/>
                    <w:numPr>
                      <w:ilvl w:val="1"/>
                      <w:numId w:val="1"/>
                    </w:numPr>
                    <w:jc w:val="both"/>
                  </w:pPr>
                  <w:r>
                    <w:rPr>
                      <w:rFonts w:ascii="仿宋_GB2312" w:hAnsi="仿宋_GB2312" w:cs="仿宋_GB2312" w:eastAsia="仿宋_GB2312"/>
                      <w:sz w:val="21"/>
                      <w:b/>
                    </w:rPr>
                    <w:t>运维目标</w:t>
                  </w:r>
                </w:p>
                <w:p>
                  <w:pPr>
                    <w:pStyle w:val="null3"/>
                    <w:ind w:firstLine="480"/>
                    <w:jc w:val="both"/>
                  </w:pPr>
                  <w:r>
                    <w:rPr>
                      <w:rFonts w:ascii="仿宋_GB2312" w:hAnsi="仿宋_GB2312" w:cs="仿宋_GB2312" w:eastAsia="仿宋_GB2312"/>
                      <w:sz w:val="21"/>
                    </w:rPr>
                    <w:t>为确保智慧云中心（智慧市监）平台信息化系统稳定运行，全面支撑市场监管各项政务工作高效、连续开展，结合智慧云中心市监全貌、主体服务、许可备案、综合监管、远程监控、投诉举报、稽查办案、质量服务、风险防控、数据资产十大板块及智慧市监APP、PC、小程序等多端应用运维需求，从系统稳定运行、数据安全保障、运维服务效能、业务支撑能力四大维度，制定可量化、可考核的信息化运维目标及成效指标。</w:t>
                  </w:r>
                </w:p>
                <w:p>
                  <w:pPr>
                    <w:pStyle w:val="null3"/>
                    <w:numPr>
                      <w:ilvl w:val="1"/>
                      <w:numId w:val="1"/>
                    </w:numPr>
                    <w:jc w:val="both"/>
                  </w:pPr>
                  <w:r>
                    <w:rPr>
                      <w:rFonts w:ascii="仿宋_GB2312" w:hAnsi="仿宋_GB2312" w:cs="仿宋_GB2312" w:eastAsia="仿宋_GB2312"/>
                      <w:sz w:val="21"/>
                      <w:b/>
                    </w:rPr>
                    <w:t>运维范围及周期</w:t>
                  </w:r>
                </w:p>
                <w:p>
                  <w:pPr>
                    <w:pStyle w:val="null3"/>
                    <w:jc w:val="both"/>
                  </w:pPr>
                  <w:r>
                    <w:rPr>
                      <w:rFonts w:ascii="仿宋_GB2312" w:hAnsi="仿宋_GB2312" w:cs="仿宋_GB2312" w:eastAsia="仿宋_GB2312"/>
                      <w:sz w:val="21"/>
                      <w:b/>
                    </w:rPr>
                    <w:t>运维范围</w:t>
                  </w:r>
                </w:p>
                <w:p>
                  <w:pPr>
                    <w:pStyle w:val="null3"/>
                    <w:ind w:firstLine="480"/>
                    <w:jc w:val="both"/>
                  </w:pPr>
                  <w:r>
                    <w:rPr>
                      <w:rFonts w:ascii="仿宋_GB2312" w:hAnsi="仿宋_GB2312" w:cs="仿宋_GB2312" w:eastAsia="仿宋_GB2312"/>
                      <w:sz w:val="21"/>
                    </w:rPr>
                    <w:t>全面覆盖市监全貌、主体服务、许可备案、综合监管、远程监控、投诉举报、稽查办案、质量服务、风险防控、数据资产十大业务模块，同时涵盖智慧市监统一认证平台、APP、PC 端、小程序端的全终端应用功能日常维护及统一身份认证维护，并同步开展上述全模块、全终端软件系统的优化调整、更新迭代，以及全链路业务数据的准确性、一致性保障相关运维工作。</w:t>
                  </w:r>
                </w:p>
                <w:p>
                  <w:pPr>
                    <w:pStyle w:val="null3"/>
                    <w:ind w:firstLine="480"/>
                    <w:jc w:val="both"/>
                  </w:pP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陕西省</w:t>
                  </w:r>
                  <w:r>
                    <w:rPr>
                      <w:rFonts w:ascii="仿宋_GB2312" w:hAnsi="仿宋_GB2312" w:cs="仿宋_GB2312" w:eastAsia="仿宋_GB2312"/>
                      <w:sz w:val="21"/>
                    </w:rPr>
                    <w:t>市场监督管理智慧云中心（</w:t>
                  </w:r>
                  <w:r>
                    <w:rPr>
                      <w:rFonts w:ascii="仿宋_GB2312" w:hAnsi="仿宋_GB2312" w:cs="仿宋_GB2312" w:eastAsia="仿宋_GB2312"/>
                      <w:sz w:val="21"/>
                    </w:rPr>
                    <w:t>智慧市监</w:t>
                  </w:r>
                  <w:r>
                    <w:rPr>
                      <w:rFonts w:ascii="仿宋_GB2312" w:hAnsi="仿宋_GB2312" w:cs="仿宋_GB2312" w:eastAsia="仿宋_GB2312"/>
                      <w:sz w:val="21"/>
                    </w:rPr>
                    <w:t>）维保服务主要内容包括：</w:t>
                  </w:r>
                </w:p>
                <w:p>
                  <w:pPr>
                    <w:pStyle w:val="null3"/>
                    <w:numPr>
                      <w:ilvl w:val="0"/>
                      <w:numId w:val="1"/>
                    </w:numPr>
                    <w:jc w:val="both"/>
                  </w:pPr>
                  <w:r>
                    <w:rPr>
                      <w:rFonts w:ascii="仿宋_GB2312" w:hAnsi="仿宋_GB2312" w:cs="仿宋_GB2312" w:eastAsia="仿宋_GB2312"/>
                      <w:sz w:val="21"/>
                    </w:rPr>
                    <w:t>日常运行监控服务</w:t>
                  </w:r>
                </w:p>
                <w:p>
                  <w:pPr>
                    <w:pStyle w:val="null3"/>
                    <w:numPr>
                      <w:ilvl w:val="0"/>
                      <w:numId w:val="1"/>
                    </w:numPr>
                    <w:jc w:val="both"/>
                  </w:pPr>
                  <w:r>
                    <w:rPr>
                      <w:rFonts w:ascii="仿宋_GB2312" w:hAnsi="仿宋_GB2312" w:cs="仿宋_GB2312" w:eastAsia="仿宋_GB2312"/>
                      <w:sz w:val="21"/>
                    </w:rPr>
                    <w:t>常态化定期巡检</w:t>
                  </w:r>
                  <w:r>
                    <w:rPr>
                      <w:rFonts w:ascii="仿宋_GB2312" w:hAnsi="仿宋_GB2312" w:cs="仿宋_GB2312" w:eastAsia="仿宋_GB2312"/>
                      <w:sz w:val="21"/>
                    </w:rPr>
                    <w:t>服务</w:t>
                  </w:r>
                </w:p>
                <w:p>
                  <w:pPr>
                    <w:pStyle w:val="null3"/>
                    <w:numPr>
                      <w:ilvl w:val="0"/>
                      <w:numId w:val="1"/>
                    </w:numPr>
                    <w:jc w:val="both"/>
                  </w:pPr>
                  <w:r>
                    <w:rPr>
                      <w:rFonts w:ascii="仿宋_GB2312" w:hAnsi="仿宋_GB2312" w:cs="仿宋_GB2312" w:eastAsia="仿宋_GB2312"/>
                      <w:sz w:val="21"/>
                    </w:rPr>
                    <w:t>故障诊断与处置服务</w:t>
                  </w:r>
                </w:p>
                <w:p>
                  <w:pPr>
                    <w:pStyle w:val="null3"/>
                    <w:numPr>
                      <w:ilvl w:val="0"/>
                      <w:numId w:val="1"/>
                    </w:numPr>
                    <w:jc w:val="both"/>
                  </w:pPr>
                  <w:r>
                    <w:rPr>
                      <w:rFonts w:ascii="仿宋_GB2312" w:hAnsi="仿宋_GB2312" w:cs="仿宋_GB2312" w:eastAsia="仿宋_GB2312"/>
                      <w:sz w:val="21"/>
                    </w:rPr>
                    <w:t>软件版本升级与补丁更新服务</w:t>
                  </w:r>
                </w:p>
                <w:p>
                  <w:pPr>
                    <w:pStyle w:val="null3"/>
                    <w:numPr>
                      <w:ilvl w:val="0"/>
                      <w:numId w:val="1"/>
                    </w:numPr>
                    <w:jc w:val="both"/>
                  </w:pPr>
                  <w:r>
                    <w:rPr>
                      <w:rFonts w:ascii="仿宋_GB2312" w:hAnsi="仿宋_GB2312" w:cs="仿宋_GB2312" w:eastAsia="仿宋_GB2312"/>
                      <w:sz w:val="21"/>
                    </w:rPr>
                    <w:t>性能优化服务</w:t>
                  </w:r>
                </w:p>
                <w:p>
                  <w:pPr>
                    <w:pStyle w:val="null3"/>
                    <w:numPr>
                      <w:ilvl w:val="0"/>
                      <w:numId w:val="1"/>
                    </w:numPr>
                    <w:jc w:val="both"/>
                  </w:pPr>
                  <w:r>
                    <w:rPr>
                      <w:rFonts w:ascii="仿宋_GB2312" w:hAnsi="仿宋_GB2312" w:cs="仿宋_GB2312" w:eastAsia="仿宋_GB2312"/>
                      <w:sz w:val="21"/>
                    </w:rPr>
                    <w:t>安全运维服务</w:t>
                  </w:r>
                </w:p>
                <w:p>
                  <w:pPr>
                    <w:pStyle w:val="null3"/>
                    <w:numPr>
                      <w:ilvl w:val="0"/>
                      <w:numId w:val="1"/>
                    </w:numPr>
                    <w:jc w:val="both"/>
                  </w:pPr>
                  <w:r>
                    <w:rPr>
                      <w:rFonts w:ascii="仿宋_GB2312" w:hAnsi="仿宋_GB2312" w:cs="仿宋_GB2312" w:eastAsia="仿宋_GB2312"/>
                      <w:sz w:val="21"/>
                    </w:rPr>
                    <w:t>日常技术咨询与支撑服务</w:t>
                  </w:r>
                </w:p>
                <w:p>
                  <w:pPr>
                    <w:pStyle w:val="null3"/>
                    <w:numPr>
                      <w:ilvl w:val="0"/>
                      <w:numId w:val="1"/>
                    </w:numPr>
                    <w:jc w:val="both"/>
                  </w:pPr>
                  <w:r>
                    <w:rPr>
                      <w:rFonts w:ascii="仿宋_GB2312" w:hAnsi="仿宋_GB2312" w:cs="仿宋_GB2312" w:eastAsia="仿宋_GB2312"/>
                      <w:sz w:val="21"/>
                    </w:rPr>
                    <w:t>全流程数据处理服务</w:t>
                  </w:r>
                </w:p>
                <w:p>
                  <w:pPr>
                    <w:pStyle w:val="null3"/>
                    <w:numPr>
                      <w:ilvl w:val="0"/>
                      <w:numId w:val="1"/>
                    </w:numPr>
                    <w:jc w:val="both"/>
                  </w:pPr>
                  <w:r>
                    <w:rPr>
                      <w:rFonts w:ascii="仿宋_GB2312" w:hAnsi="仿宋_GB2312" w:cs="仿宋_GB2312" w:eastAsia="仿宋_GB2312"/>
                      <w:sz w:val="21"/>
                    </w:rPr>
                    <w:t>培训服务</w:t>
                  </w:r>
                </w:p>
                <w:p>
                  <w:pPr>
                    <w:pStyle w:val="null3"/>
                    <w:numPr>
                      <w:ilvl w:val="0"/>
                      <w:numId w:val="1"/>
                    </w:numPr>
                    <w:jc w:val="both"/>
                  </w:pPr>
                  <w:r>
                    <w:rPr>
                      <w:rFonts w:ascii="仿宋_GB2312" w:hAnsi="仿宋_GB2312" w:cs="仿宋_GB2312" w:eastAsia="仿宋_GB2312"/>
                      <w:sz w:val="21"/>
                    </w:rPr>
                    <w:t>系统优化开发</w:t>
                  </w:r>
                </w:p>
                <w:p>
                  <w:pPr>
                    <w:pStyle w:val="null3"/>
                    <w:ind w:firstLine="480"/>
                    <w:jc w:val="both"/>
                  </w:pPr>
                  <w:r>
                    <w:rPr>
                      <w:rFonts w:ascii="仿宋_GB2312" w:hAnsi="仿宋_GB2312" w:cs="仿宋_GB2312" w:eastAsia="仿宋_GB2312"/>
                      <w:sz w:val="21"/>
                    </w:rPr>
                    <w:t>根据招标文件要求，与软件开发商签订的合同所涵盖的内容，均在软件维保服务范围内，包含应用软件运行中的修改、完善、升级、优化、部署、监控等。</w:t>
                  </w:r>
                </w:p>
                <w:p>
                  <w:pPr>
                    <w:pStyle w:val="null3"/>
                    <w:ind w:firstLine="480"/>
                    <w:jc w:val="both"/>
                  </w:pPr>
                  <w:r>
                    <w:rPr>
                      <w:rFonts w:ascii="仿宋_GB2312" w:hAnsi="仿宋_GB2312" w:cs="仿宋_GB2312" w:eastAsia="仿宋_GB2312"/>
                      <w:sz w:val="21"/>
                    </w:rPr>
                    <w:t>本项目运维服务内容包含采购方安排的各项运行维护相关工作，包括但不限于以下方面：</w:t>
                  </w:r>
                </w:p>
                <w:p>
                  <w:pPr>
                    <w:pStyle w:val="null3"/>
                    <w:ind w:firstLine="480"/>
                    <w:jc w:val="both"/>
                  </w:pPr>
                  <w:r>
                    <w:rPr>
                      <w:rFonts w:ascii="仿宋_GB2312" w:hAnsi="仿宋_GB2312" w:cs="仿宋_GB2312" w:eastAsia="仿宋_GB2312"/>
                      <w:sz w:val="21"/>
                    </w:rPr>
                    <w:t>1）应用运行环境运维</w:t>
                  </w:r>
                </w:p>
                <w:p>
                  <w:pPr>
                    <w:pStyle w:val="null3"/>
                    <w:ind w:firstLine="480"/>
                    <w:jc w:val="both"/>
                  </w:pPr>
                  <w:r>
                    <w:rPr>
                      <w:rFonts w:ascii="仿宋_GB2312" w:hAnsi="仿宋_GB2312" w:cs="仿宋_GB2312" w:eastAsia="仿宋_GB2312"/>
                      <w:sz w:val="21"/>
                    </w:rPr>
                    <w:t>本项目运行环境包括生产环境、预生产环境（培训环境），以及应用运行相关的操作系统和系统软件配置。应用运行环境运维工作包括对应用运行环境的日常运行监控、定期巡检、环境调优、应用版本发布等。</w:t>
                  </w:r>
                </w:p>
                <w:p>
                  <w:pPr>
                    <w:pStyle w:val="null3"/>
                    <w:ind w:firstLine="480"/>
                    <w:jc w:val="both"/>
                  </w:pPr>
                  <w:r>
                    <w:rPr>
                      <w:rFonts w:ascii="仿宋_GB2312" w:hAnsi="仿宋_GB2312" w:cs="仿宋_GB2312" w:eastAsia="仿宋_GB2312"/>
                      <w:sz w:val="21"/>
                    </w:rPr>
                    <w:t>2）应用软件运维</w:t>
                  </w:r>
                </w:p>
                <w:p>
                  <w:pPr>
                    <w:pStyle w:val="null3"/>
                    <w:ind w:firstLine="480"/>
                    <w:jc w:val="both"/>
                  </w:pPr>
                  <w:r>
                    <w:rPr>
                      <w:rFonts w:ascii="仿宋_GB2312" w:hAnsi="仿宋_GB2312" w:cs="仿宋_GB2312" w:eastAsia="仿宋_GB2312"/>
                      <w:sz w:val="21"/>
                    </w:rPr>
                    <w:t>本项目应用软件运维工作包括对应用软件需求变更管理、应用问题管理、数据运维管理和应用软件版本管理。</w:t>
                  </w:r>
                </w:p>
                <w:p>
                  <w:pPr>
                    <w:pStyle w:val="null3"/>
                    <w:ind w:firstLine="480"/>
                    <w:jc w:val="both"/>
                  </w:pPr>
                  <w:r>
                    <w:rPr>
                      <w:rFonts w:ascii="仿宋_GB2312" w:hAnsi="仿宋_GB2312" w:cs="仿宋_GB2312" w:eastAsia="仿宋_GB2312"/>
                      <w:sz w:val="21"/>
                    </w:rPr>
                    <w:t>3)服务方式</w:t>
                  </w:r>
                </w:p>
                <w:p>
                  <w:pPr>
                    <w:pStyle w:val="null3"/>
                    <w:ind w:firstLine="480"/>
                    <w:jc w:val="both"/>
                  </w:pPr>
                  <w:r>
                    <w:rPr>
                      <w:rFonts w:ascii="仿宋_GB2312" w:hAnsi="仿宋_GB2312" w:cs="仿宋_GB2312" w:eastAsia="仿宋_GB2312"/>
                      <w:sz w:val="21"/>
                    </w:rPr>
                    <w:t>在服务期内，运维单位提供日常故障处理服务，对用户所提出的系统业务应用软件等故障处理要求，在1小时内做出安排并将其反馈给用户，遇到重大技术问题，在30分钟内响应，并在24小时内采取相应措施以确保系统可正常操作。无法在24小时内解决的，提供解决时间表。</w:t>
                  </w:r>
                </w:p>
                <w:p>
                  <w:pPr>
                    <w:pStyle w:val="null3"/>
                    <w:ind w:firstLine="480"/>
                    <w:jc w:val="both"/>
                  </w:pPr>
                  <w:r>
                    <w:rPr>
                      <w:rFonts w:ascii="仿宋_GB2312" w:hAnsi="仿宋_GB2312" w:cs="仿宋_GB2312" w:eastAsia="仿宋_GB2312"/>
                      <w:sz w:val="21"/>
                    </w:rPr>
                    <w:t>在服务期间，运维单位按时提交工作月报；服务工作结束后，须提交总结报告，由使用单位进行评估验收。</w:t>
                  </w:r>
                </w:p>
                <w:p>
                  <w:pPr>
                    <w:pStyle w:val="null3"/>
                    <w:ind w:firstLine="480"/>
                    <w:jc w:val="both"/>
                  </w:pPr>
                  <w:r>
                    <w:rPr>
                      <w:rFonts w:ascii="仿宋_GB2312" w:hAnsi="仿宋_GB2312" w:cs="仿宋_GB2312" w:eastAsia="仿宋_GB2312"/>
                      <w:sz w:val="21"/>
                    </w:rPr>
                    <w:t>4)服务质量、标准</w:t>
                  </w:r>
                </w:p>
                <w:p>
                  <w:pPr>
                    <w:pStyle w:val="null3"/>
                    <w:ind w:firstLine="480"/>
                    <w:jc w:val="both"/>
                  </w:pPr>
                  <w:r>
                    <w:rPr>
                      <w:rFonts w:ascii="仿宋_GB2312" w:hAnsi="仿宋_GB2312" w:cs="仿宋_GB2312" w:eastAsia="仿宋_GB2312"/>
                      <w:sz w:val="21"/>
                    </w:rPr>
                    <w:t>一般事件的技术支持指客户通过运维平台、电话等方式提交的数据中心及有关的业务和技术的问题的处理；</w:t>
                  </w:r>
                </w:p>
                <w:p>
                  <w:pPr>
                    <w:pStyle w:val="null3"/>
                    <w:ind w:firstLine="480"/>
                    <w:jc w:val="both"/>
                  </w:pPr>
                  <w:r>
                    <w:rPr>
                      <w:rFonts w:ascii="仿宋_GB2312" w:hAnsi="仿宋_GB2312" w:cs="仿宋_GB2312" w:eastAsia="仿宋_GB2312"/>
                      <w:sz w:val="21"/>
                    </w:rPr>
                    <w:t>对于一般事件的技术支持，严格按照运维平台的处理流程和填写规范，正确、真实填写事件原因、处理方法</w:t>
                  </w:r>
                  <w:r>
                    <w:rPr>
                      <w:rFonts w:ascii="仿宋_GB2312" w:hAnsi="仿宋_GB2312" w:cs="仿宋_GB2312" w:eastAsia="仿宋_GB2312"/>
                      <w:sz w:val="21"/>
                    </w:rPr>
                    <w:t>，</w:t>
                  </w:r>
                  <w:r>
                    <w:rPr>
                      <w:rFonts w:ascii="仿宋_GB2312" w:hAnsi="仿宋_GB2312" w:cs="仿宋_GB2312" w:eastAsia="仿宋_GB2312"/>
                      <w:sz w:val="21"/>
                    </w:rPr>
                    <w:t>并及时推送运维单；每一笔运维事件处理时间不超过30分钟，如遇特殊原因及时与事件提交人电话沟通。对一般事件定期做好收集分类，形成问题集和知识库。</w:t>
                  </w:r>
                </w:p>
                <w:p>
                  <w:pPr>
                    <w:pStyle w:val="null3"/>
                    <w:ind w:firstLine="480"/>
                    <w:jc w:val="both"/>
                  </w:pPr>
                  <w:r>
                    <w:rPr>
                      <w:rFonts w:ascii="仿宋_GB2312" w:hAnsi="仿宋_GB2312" w:cs="仿宋_GB2312" w:eastAsia="仿宋_GB2312"/>
                      <w:sz w:val="21"/>
                    </w:rPr>
                    <w:t>重大事件的处理以“最快速度、最小影响”为原则，积极稳妥的推进。对于用户方领导不同意进行处理的请求，不得擅自进行处理。</w:t>
                  </w:r>
                </w:p>
                <w:p>
                  <w:pPr>
                    <w:pStyle w:val="null3"/>
                    <w:jc w:val="both"/>
                  </w:pPr>
                  <w:r>
                    <w:rPr>
                      <w:rFonts w:ascii="仿宋_GB2312" w:hAnsi="仿宋_GB2312" w:cs="仿宋_GB2312" w:eastAsia="仿宋_GB2312"/>
                      <w:sz w:val="21"/>
                      <w:b/>
                    </w:rPr>
                    <w:t>运维周期</w:t>
                  </w:r>
                </w:p>
                <w:p>
                  <w:pPr>
                    <w:pStyle w:val="null3"/>
                    <w:ind w:firstLine="480"/>
                    <w:jc w:val="both"/>
                  </w:pP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年度</w:t>
                  </w:r>
                </w:p>
                <w:p>
                  <w:pPr>
                    <w:pStyle w:val="null3"/>
                    <w:jc w:val="both"/>
                  </w:pPr>
                  <w:r>
                    <w:rPr>
                      <w:rFonts w:ascii="仿宋_GB2312" w:hAnsi="仿宋_GB2312" w:cs="仿宋_GB2312" w:eastAsia="仿宋_GB2312"/>
                      <w:sz w:val="21"/>
                      <w:b/>
                    </w:rPr>
                    <w:t>软件运维内容及要求</w:t>
                  </w:r>
                </w:p>
                <w:p>
                  <w:pPr>
                    <w:pStyle w:val="null3"/>
                    <w:numPr>
                      <w:ilvl w:val="1"/>
                      <w:numId w:val="1"/>
                    </w:numPr>
                    <w:jc w:val="both"/>
                  </w:pPr>
                  <w:r>
                    <w:rPr>
                      <w:rFonts w:ascii="仿宋_GB2312" w:hAnsi="仿宋_GB2312" w:cs="仿宋_GB2312" w:eastAsia="仿宋_GB2312"/>
                      <w:sz w:val="21"/>
                      <w:b/>
                    </w:rPr>
                    <w:t>日常运维服务</w:t>
                  </w:r>
                </w:p>
                <w:p>
                  <w:pPr>
                    <w:pStyle w:val="null3"/>
                    <w:jc w:val="both"/>
                  </w:pPr>
                  <w:r>
                    <w:rPr>
                      <w:rFonts w:ascii="仿宋_GB2312" w:hAnsi="仿宋_GB2312" w:cs="仿宋_GB2312" w:eastAsia="仿宋_GB2312"/>
                      <w:sz w:val="21"/>
                      <w:b/>
                    </w:rPr>
                    <w:t>运维服务要求</w:t>
                  </w:r>
                </w:p>
                <w:p>
                  <w:pPr>
                    <w:pStyle w:val="null3"/>
                    <w:ind w:firstLine="480"/>
                    <w:jc w:val="both"/>
                  </w:pPr>
                  <w:r>
                    <w:rPr>
                      <w:rFonts w:ascii="仿宋_GB2312" w:hAnsi="仿宋_GB2312" w:cs="仿宋_GB2312" w:eastAsia="仿宋_GB2312"/>
                      <w:sz w:val="21"/>
                    </w:rPr>
                    <w:t>服务对象：陕西省市场监督管理局</w:t>
                  </w:r>
                </w:p>
                <w:p>
                  <w:pPr>
                    <w:pStyle w:val="null3"/>
                    <w:ind w:firstLine="480"/>
                    <w:jc w:val="both"/>
                  </w:pPr>
                  <w:r>
                    <w:rPr>
                      <w:rFonts w:ascii="仿宋_GB2312" w:hAnsi="仿宋_GB2312" w:cs="仿宋_GB2312" w:eastAsia="仿宋_GB2312"/>
                      <w:sz w:val="21"/>
                    </w:rPr>
                    <w:t>服务周期：202</w:t>
                  </w:r>
                  <w:r>
                    <w:rPr>
                      <w:rFonts w:ascii="仿宋_GB2312" w:hAnsi="仿宋_GB2312" w:cs="仿宋_GB2312" w:eastAsia="仿宋_GB2312"/>
                      <w:sz w:val="21"/>
                    </w:rPr>
                    <w:t>6</w:t>
                  </w:r>
                  <w:r>
                    <w:rPr>
                      <w:rFonts w:ascii="仿宋_GB2312" w:hAnsi="仿宋_GB2312" w:cs="仿宋_GB2312" w:eastAsia="仿宋_GB2312"/>
                      <w:sz w:val="21"/>
                    </w:rPr>
                    <w:t>年度</w:t>
                  </w:r>
                </w:p>
                <w:p>
                  <w:pPr>
                    <w:pStyle w:val="null3"/>
                    <w:ind w:firstLine="480"/>
                    <w:jc w:val="both"/>
                  </w:pPr>
                  <w:r>
                    <w:rPr>
                      <w:rFonts w:ascii="仿宋_GB2312" w:hAnsi="仿宋_GB2312" w:cs="仿宋_GB2312" w:eastAsia="仿宋_GB2312"/>
                      <w:sz w:val="21"/>
                    </w:rPr>
                    <w:t>服务内容：主要包括软件运行实时监控、全流程数据处理、常态化定期巡检、各类故障快速处置、数据备份协助实施，以及日常技术咨询与支撑等相关工作，全面保障软件系统稳定、高效运行。</w:t>
                  </w:r>
                </w:p>
                <w:p>
                  <w:pPr>
                    <w:pStyle w:val="null3"/>
                    <w:ind w:firstLine="480"/>
                    <w:jc w:val="both"/>
                  </w:pPr>
                  <w:r>
                    <w:rPr>
                      <w:rFonts w:ascii="仿宋_GB2312" w:hAnsi="仿宋_GB2312" w:cs="仿宋_GB2312" w:eastAsia="仿宋_GB2312"/>
                      <w:sz w:val="21"/>
                    </w:rPr>
                    <w:t>数据更新要求：实时更新、定时更新。</w:t>
                  </w:r>
                </w:p>
                <w:p>
                  <w:pPr>
                    <w:pStyle w:val="null3"/>
                    <w:jc w:val="both"/>
                  </w:pPr>
                  <w:r>
                    <w:rPr>
                      <w:rFonts w:ascii="仿宋_GB2312" w:hAnsi="仿宋_GB2312" w:cs="仿宋_GB2312" w:eastAsia="仿宋_GB2312"/>
                      <w:sz w:val="21"/>
                      <w:b/>
                    </w:rPr>
                    <w:t>运维服务内容</w:t>
                  </w:r>
                </w:p>
                <w:p>
                  <w:pPr>
                    <w:pStyle w:val="null3"/>
                    <w:ind w:firstLine="480"/>
                    <w:jc w:val="both"/>
                  </w:pPr>
                  <w:r>
                    <w:rPr>
                      <w:rFonts w:ascii="仿宋_GB2312" w:hAnsi="仿宋_GB2312" w:cs="仿宋_GB2312" w:eastAsia="仿宋_GB2312"/>
                      <w:sz w:val="21"/>
                    </w:rPr>
                    <w:t>为确保业务规范有效落地实施，运维服务需涵盖业务规范修订等相关服务内容。</w:t>
                  </w:r>
                </w:p>
                <w:p>
                  <w:pPr>
                    <w:pStyle w:val="null3"/>
                    <w:numPr>
                      <w:ilvl w:val="3"/>
                      <w:numId w:val="2"/>
                    </w:numPr>
                    <w:jc w:val="both"/>
                  </w:pPr>
                  <w:r>
                    <w:rPr>
                      <w:rFonts w:ascii="仿宋_GB2312" w:hAnsi="仿宋_GB2312" w:cs="仿宋_GB2312" w:eastAsia="仿宋_GB2312"/>
                      <w:sz w:val="21"/>
                      <w:b/>
                    </w:rPr>
                    <w:t>日常运行监控服务</w:t>
                  </w:r>
                </w:p>
                <w:p>
                  <w:pPr>
                    <w:pStyle w:val="null3"/>
                    <w:numPr>
                      <w:ilvl w:val="0"/>
                      <w:numId w:val="2"/>
                    </w:numPr>
                    <w:jc w:val="both"/>
                  </w:pPr>
                  <w:r>
                    <w:rPr>
                      <w:rFonts w:ascii="仿宋_GB2312" w:hAnsi="仿宋_GB2312" w:cs="仿宋_GB2312" w:eastAsia="仿宋_GB2312"/>
                      <w:sz w:val="21"/>
                    </w:rPr>
                    <w:t>对支撑软件、应用软件、接口服务进行 7×24 小时运行状态监控；</w:t>
                  </w:r>
                </w:p>
                <w:p>
                  <w:pPr>
                    <w:pStyle w:val="null3"/>
                    <w:numPr>
                      <w:ilvl w:val="0"/>
                      <w:numId w:val="2"/>
                    </w:numPr>
                    <w:jc w:val="both"/>
                  </w:pPr>
                  <w:r>
                    <w:rPr>
                      <w:rFonts w:ascii="仿宋_GB2312" w:hAnsi="仿宋_GB2312" w:cs="仿宋_GB2312" w:eastAsia="仿宋_GB2312"/>
                      <w:sz w:val="21"/>
                    </w:rPr>
                    <w:t>监控服务可用性、CPU / 内存 / 磁盘资源、连接数、响应时间、报错信息；</w:t>
                  </w:r>
                </w:p>
                <w:p>
                  <w:pPr>
                    <w:pStyle w:val="null3"/>
                    <w:numPr>
                      <w:ilvl w:val="0"/>
                      <w:numId w:val="2"/>
                    </w:numPr>
                    <w:jc w:val="both"/>
                  </w:pPr>
                  <w:r>
                    <w:rPr>
                      <w:rFonts w:ascii="仿宋_GB2312" w:hAnsi="仿宋_GB2312" w:cs="仿宋_GB2312" w:eastAsia="仿宋_GB2312"/>
                      <w:sz w:val="21"/>
                    </w:rPr>
                    <w:t>及时发现异常、告警、卡顿、服务中断等隐患并预警。</w:t>
                  </w:r>
                </w:p>
                <w:p>
                  <w:pPr>
                    <w:pStyle w:val="null3"/>
                    <w:numPr>
                      <w:ilvl w:val="3"/>
                      <w:numId w:val="2"/>
                    </w:numPr>
                    <w:jc w:val="both"/>
                  </w:pPr>
                  <w:r>
                    <w:rPr>
                      <w:rFonts w:ascii="仿宋_GB2312" w:hAnsi="仿宋_GB2312" w:cs="仿宋_GB2312" w:eastAsia="仿宋_GB2312"/>
                      <w:sz w:val="21"/>
                      <w:b/>
                    </w:rPr>
                    <w:t>常态化定期巡检服务</w:t>
                  </w:r>
                </w:p>
                <w:p>
                  <w:pPr>
                    <w:pStyle w:val="null3"/>
                    <w:jc w:val="both"/>
                  </w:pPr>
                  <w:r>
                    <w:rPr>
                      <w:rFonts w:ascii="仿宋_GB2312" w:hAnsi="仿宋_GB2312" w:cs="仿宋_GB2312" w:eastAsia="仿宋_GB2312"/>
                      <w:sz w:val="21"/>
                    </w:rPr>
                    <w:t>常</w:t>
                  </w:r>
                  <w:r>
                    <w:rPr>
                      <w:rFonts w:ascii="仿宋_GB2312" w:hAnsi="仿宋_GB2312" w:cs="仿宋_GB2312" w:eastAsia="仿宋_GB2312"/>
                      <w:sz w:val="21"/>
                    </w:rPr>
                    <w:t>态化定期巡检服务覆盖智慧云中心</w:t>
                  </w:r>
                  <w:r>
                    <w:rPr>
                      <w:rFonts w:ascii="仿宋_GB2312" w:hAnsi="仿宋_GB2312" w:cs="仿宋_GB2312" w:eastAsia="仿宋_GB2312"/>
                      <w:sz w:val="21"/>
                    </w:rPr>
                    <w:t>（</w:t>
                  </w:r>
                  <w:r>
                    <w:rPr>
                      <w:rFonts w:ascii="仿宋_GB2312" w:hAnsi="仿宋_GB2312" w:cs="仿宋_GB2312" w:eastAsia="仿宋_GB2312"/>
                      <w:sz w:val="21"/>
                    </w:rPr>
                    <w:t>智慧市监）</w:t>
                  </w:r>
                  <w:r>
                    <w:rPr>
                      <w:rFonts w:ascii="仿宋_GB2312" w:hAnsi="仿宋_GB2312" w:cs="仿宋_GB2312" w:eastAsia="仿宋_GB2312"/>
                      <w:sz w:val="21"/>
                    </w:rPr>
                    <w:t>数据库、中间件、业务应用、安全体系等全范围，包含系统性能监测、配置核查、日志分析、备份有效性验证、隐患排查等内容；按固定周期执行巡检工作，输出标准化巡检报告，为系统运维优化提供依据。</w:t>
                  </w:r>
                </w:p>
                <w:p>
                  <w:pPr>
                    <w:pStyle w:val="null3"/>
                    <w:numPr>
                      <w:ilvl w:val="3"/>
                      <w:numId w:val="2"/>
                    </w:numPr>
                    <w:jc w:val="both"/>
                  </w:pPr>
                  <w:r>
                    <w:rPr>
                      <w:rFonts w:ascii="仿宋_GB2312" w:hAnsi="仿宋_GB2312" w:cs="仿宋_GB2312" w:eastAsia="仿宋_GB2312"/>
                      <w:sz w:val="21"/>
                      <w:b/>
                    </w:rPr>
                    <w:t>故障诊断与处置服务</w:t>
                  </w:r>
                </w:p>
                <w:p>
                  <w:pPr>
                    <w:pStyle w:val="null3"/>
                    <w:ind w:firstLine="420"/>
                    <w:jc w:val="both"/>
                  </w:pPr>
                  <w:r>
                    <w:rPr>
                      <w:rFonts w:ascii="仿宋_GB2312" w:hAnsi="仿宋_GB2312" w:cs="仿宋_GB2312" w:eastAsia="仿宋_GB2312"/>
                      <w:sz w:val="21"/>
                    </w:rPr>
                    <w:t>提供故障全流程处理服务，严格执行故障受理、登记、分级、响应、排查、处理、验证、闭环管理；支撑数据库、中间件、安全软件、系统报错等故障处理，以及页面访问、功能异常、接口失败、数据错误、业务中断等问题修复，保障系统稳定运行</w:t>
                  </w:r>
                  <w:r>
                    <w:rPr>
                      <w:rFonts w:ascii="仿宋_GB2312" w:hAnsi="仿宋_GB2312" w:cs="仿宋_GB2312" w:eastAsia="仿宋_GB2312"/>
                      <w:sz w:val="21"/>
                    </w:rPr>
                    <w:t>。</w:t>
                  </w:r>
                </w:p>
                <w:p>
                  <w:pPr>
                    <w:pStyle w:val="null3"/>
                    <w:numPr>
                      <w:ilvl w:val="3"/>
                      <w:numId w:val="2"/>
                    </w:numPr>
                    <w:jc w:val="both"/>
                  </w:pPr>
                  <w:r>
                    <w:rPr>
                      <w:rFonts w:ascii="仿宋_GB2312" w:hAnsi="仿宋_GB2312" w:cs="仿宋_GB2312" w:eastAsia="仿宋_GB2312"/>
                      <w:sz w:val="21"/>
                      <w:b/>
                    </w:rPr>
                    <w:t>软件版本升级与补丁更新服务</w:t>
                  </w:r>
                </w:p>
                <w:p>
                  <w:pPr>
                    <w:pStyle w:val="null3"/>
                    <w:jc w:val="left"/>
                  </w:pPr>
                  <w:r>
                    <w:rPr>
                      <w:rFonts w:ascii="仿宋_GB2312" w:hAnsi="仿宋_GB2312" w:cs="仿宋_GB2312" w:eastAsia="仿宋_GB2312"/>
                      <w:sz w:val="21"/>
                    </w:rPr>
                    <w:t>提供操作系统、数据库、中间件、安全软件的补丁更新与漏洞修复服务；完成应用系统小版本升级、BUG 修复、功能优化及兼容性更新；严格执行升级前方案制定、数据备份与测试验证，以及升级后验证、回滚保障工作，保障系统稳定运行。</w:t>
                  </w:r>
                </w:p>
                <w:p>
                  <w:pPr>
                    <w:pStyle w:val="null3"/>
                    <w:numPr>
                      <w:ilvl w:val="3"/>
                      <w:numId w:val="2"/>
                    </w:numPr>
                    <w:jc w:val="both"/>
                  </w:pPr>
                  <w:r>
                    <w:rPr>
                      <w:rFonts w:ascii="仿宋_GB2312" w:hAnsi="仿宋_GB2312" w:cs="仿宋_GB2312" w:eastAsia="仿宋_GB2312"/>
                      <w:sz w:val="21"/>
                      <w:b/>
                    </w:rPr>
                    <w:t>性能优化服务</w:t>
                  </w:r>
                </w:p>
                <w:p>
                  <w:pPr>
                    <w:pStyle w:val="null3"/>
                    <w:jc w:val="both"/>
                  </w:pPr>
                  <w:r>
                    <w:rPr>
                      <w:rFonts w:ascii="仿宋_GB2312" w:hAnsi="仿宋_GB2312" w:cs="仿宋_GB2312" w:eastAsia="仿宋_GB2312"/>
                      <w:sz w:val="21"/>
                    </w:rPr>
                    <w:t>提供数据库、中间件及应用系统性能优化服务，实现</w:t>
                  </w:r>
                  <w:r>
                    <w:rPr>
                      <w:rFonts w:ascii="仿宋_GB2312" w:hAnsi="仿宋_GB2312" w:cs="仿宋_GB2312" w:eastAsia="仿宋_GB2312"/>
                      <w:sz w:val="21"/>
                    </w:rPr>
                    <w:t>接口</w:t>
                  </w:r>
                  <w:r>
                    <w:rPr>
                      <w:rFonts w:ascii="仿宋_GB2312" w:hAnsi="仿宋_GB2312" w:cs="仿宋_GB2312" w:eastAsia="仿宋_GB2312"/>
                      <w:sz w:val="21"/>
                    </w:rPr>
                    <w:t>调优、索引优化、慢查询治理、连接池与缓存优化、应用性能提升，并完成高峰期容量评估、瓶颈定位与优化改进。</w:t>
                  </w:r>
                </w:p>
                <w:p>
                  <w:pPr>
                    <w:pStyle w:val="null3"/>
                    <w:numPr>
                      <w:ilvl w:val="3"/>
                      <w:numId w:val="2"/>
                    </w:numPr>
                    <w:jc w:val="both"/>
                  </w:pPr>
                  <w:r>
                    <w:rPr>
                      <w:rFonts w:ascii="仿宋_GB2312" w:hAnsi="仿宋_GB2312" w:cs="仿宋_GB2312" w:eastAsia="仿宋_GB2312"/>
                      <w:sz w:val="21"/>
                      <w:b/>
                    </w:rPr>
                    <w:t>安全运维服务</w:t>
                  </w:r>
                </w:p>
                <w:p>
                  <w:pPr>
                    <w:pStyle w:val="null3"/>
                    <w:numPr>
                      <w:ilvl w:val="0"/>
                      <w:numId w:val="2"/>
                    </w:numPr>
                    <w:jc w:val="both"/>
                  </w:pPr>
                  <w:r>
                    <w:rPr>
                      <w:rFonts w:ascii="仿宋_GB2312" w:hAnsi="仿宋_GB2312" w:cs="仿宋_GB2312" w:eastAsia="仿宋_GB2312"/>
                      <w:sz w:val="21"/>
                    </w:rPr>
                    <w:t>权限与访问管控：建立账号全生命周期管理机制，严格执行最小权限分配原则，定期开展账号权限审计与清理，确保权限配置合规、访问行为可控</w:t>
                  </w:r>
                  <w:r>
                    <w:rPr>
                      <w:rFonts w:ascii="仿宋_GB2312" w:hAnsi="仿宋_GB2312" w:cs="仿宋_GB2312" w:eastAsia="仿宋_GB2312"/>
                      <w:sz w:val="21"/>
                    </w:rPr>
                    <w:t>；</w:t>
                  </w:r>
                </w:p>
                <w:p>
                  <w:pPr>
                    <w:pStyle w:val="null3"/>
                    <w:numPr>
                      <w:ilvl w:val="0"/>
                      <w:numId w:val="2"/>
                    </w:numPr>
                    <w:jc w:val="both"/>
                  </w:pPr>
                  <w:r>
                    <w:rPr>
                      <w:rFonts w:ascii="仿宋_GB2312" w:hAnsi="仿宋_GB2312" w:cs="仿宋_GB2312" w:eastAsia="仿宋_GB2312"/>
                      <w:sz w:val="21"/>
                    </w:rPr>
                    <w:t>安全防护与加固：定期开展系统漏洞扫描、弱口令检测及恶意代码监测，针对安全风险实施全量安全加固，防范网络攻击、恶意入侵等安全威胁</w:t>
                  </w:r>
                  <w:r>
                    <w:rPr>
                      <w:rFonts w:ascii="仿宋_GB2312" w:hAnsi="仿宋_GB2312" w:cs="仿宋_GB2312" w:eastAsia="仿宋_GB2312"/>
                      <w:sz w:val="21"/>
                    </w:rPr>
                    <w:t>；</w:t>
                  </w:r>
                </w:p>
                <w:p>
                  <w:pPr>
                    <w:pStyle w:val="null3"/>
                    <w:numPr>
                      <w:ilvl w:val="0"/>
                      <w:numId w:val="2"/>
                    </w:numPr>
                    <w:jc w:val="both"/>
                  </w:pPr>
                  <w:r>
                    <w:rPr>
                      <w:rFonts w:ascii="仿宋_GB2312" w:hAnsi="仿宋_GB2312" w:cs="仿宋_GB2312" w:eastAsia="仿宋_GB2312"/>
                      <w:sz w:val="21"/>
                    </w:rPr>
                    <w:t>日志与安全监控：全面采集并审计系统操作日志，实现操作行为全流程留痕；建立异常行为监测机制，规范安全事件处置流程，保障系统与数据安全</w:t>
                  </w:r>
                  <w:r>
                    <w:rPr>
                      <w:rFonts w:ascii="仿宋_GB2312" w:hAnsi="仿宋_GB2312" w:cs="仿宋_GB2312" w:eastAsia="仿宋_GB2312"/>
                      <w:sz w:val="21"/>
                    </w:rPr>
                    <w:t>；</w:t>
                  </w:r>
                </w:p>
                <w:p>
                  <w:pPr>
                    <w:pStyle w:val="null3"/>
                    <w:numPr>
                      <w:ilvl w:val="0"/>
                      <w:numId w:val="2"/>
                    </w:numPr>
                    <w:jc w:val="both"/>
                  </w:pPr>
                  <w:r>
                    <w:rPr>
                      <w:rFonts w:ascii="仿宋_GB2312" w:hAnsi="仿宋_GB2312" w:cs="仿宋_GB2312" w:eastAsia="仿宋_GB2312"/>
                      <w:sz w:val="21"/>
                    </w:rPr>
                    <w:t>合规落地：严格落实网络安全、数据安全、密码应用等国家及行业相关合规要求，确保运维服务全流程符合合规标准。</w:t>
                  </w:r>
                </w:p>
                <w:p>
                  <w:pPr>
                    <w:pStyle w:val="null3"/>
                    <w:numPr>
                      <w:ilvl w:val="3"/>
                      <w:numId w:val="2"/>
                    </w:numPr>
                    <w:jc w:val="both"/>
                  </w:pPr>
                  <w:r>
                    <w:rPr>
                      <w:rFonts w:ascii="仿宋_GB2312" w:hAnsi="仿宋_GB2312" w:cs="仿宋_GB2312" w:eastAsia="仿宋_GB2312"/>
                      <w:sz w:val="21"/>
                      <w:b/>
                    </w:rPr>
                    <w:t>日常技术咨询与支撑服务</w:t>
                  </w:r>
                </w:p>
                <w:p>
                  <w:pPr>
                    <w:pStyle w:val="null3"/>
                    <w:ind w:firstLine="480"/>
                    <w:jc w:val="both"/>
                  </w:pPr>
                  <w:r>
                    <w:rPr>
                      <w:rFonts w:ascii="仿宋_GB2312" w:hAnsi="仿宋_GB2312" w:cs="仿宋_GB2312" w:eastAsia="仿宋_GB2312"/>
                      <w:sz w:val="21"/>
                    </w:rPr>
                    <w:t>服务提供方</w:t>
                  </w:r>
                  <w:r>
                    <w:rPr>
                      <w:rFonts w:ascii="仿宋_GB2312" w:hAnsi="仿宋_GB2312" w:cs="仿宋_GB2312" w:eastAsia="仿宋_GB2312"/>
                      <w:sz w:val="21"/>
                    </w:rPr>
                    <w:t>须精通智慧云中心（智慧市监）全模块业务、功能、技术架构与运行机制。提供业务答疑、操作指导、流程咨询服务；支撑系统部署、联调测试、环境配置及问题定位；输出运维报告、优化建议、风险提示与解决方案。</w:t>
                  </w:r>
                </w:p>
                <w:p>
                  <w:pPr>
                    <w:pStyle w:val="null3"/>
                    <w:numPr>
                      <w:ilvl w:val="3"/>
                      <w:numId w:val="2"/>
                    </w:numPr>
                    <w:jc w:val="both"/>
                  </w:pPr>
                  <w:r>
                    <w:rPr>
                      <w:rFonts w:ascii="仿宋_GB2312" w:hAnsi="仿宋_GB2312" w:cs="仿宋_GB2312" w:eastAsia="仿宋_GB2312"/>
                      <w:sz w:val="21"/>
                      <w:b/>
                    </w:rPr>
                    <w:t>全流程数据处理服务</w:t>
                  </w:r>
                </w:p>
                <w:p>
                  <w:pPr>
                    <w:pStyle w:val="null3"/>
                    <w:ind w:firstLine="480"/>
                    <w:jc w:val="both"/>
                  </w:pPr>
                  <w:r>
                    <w:rPr>
                      <w:rFonts w:ascii="仿宋_GB2312" w:hAnsi="仿宋_GB2312" w:cs="仿宋_GB2312" w:eastAsia="仿宋_GB2312"/>
                      <w:sz w:val="21"/>
                    </w:rPr>
                    <w:t>提供市场监督管理智慧云中心指定业务相关的数据服务，</w:t>
                  </w:r>
                  <w:r>
                    <w:rPr>
                      <w:rFonts w:ascii="仿宋_GB2312" w:hAnsi="仿宋_GB2312" w:cs="仿宋_GB2312" w:eastAsia="仿宋_GB2312"/>
                      <w:sz w:val="21"/>
                    </w:rPr>
                    <w:t>包括数据采集接入、数据ETL、数据融合治理、数据服务过程中运行状况、可能存在的问题，提供改进建议促进数据质量提升，保障本项目平台以及其上的数据和应用稳定运行，高效可用。</w:t>
                  </w:r>
                </w:p>
                <w:p>
                  <w:pPr>
                    <w:pStyle w:val="null3"/>
                    <w:numPr>
                      <w:ilvl w:val="3"/>
                      <w:numId w:val="2"/>
                    </w:numPr>
                    <w:jc w:val="both"/>
                  </w:pPr>
                  <w:r>
                    <w:rPr>
                      <w:rFonts w:ascii="仿宋_GB2312" w:hAnsi="仿宋_GB2312" w:cs="仿宋_GB2312" w:eastAsia="仿宋_GB2312"/>
                      <w:sz w:val="21"/>
                      <w:b/>
                    </w:rPr>
                    <w:t>培训服务</w:t>
                  </w:r>
                </w:p>
                <w:p>
                  <w:pPr>
                    <w:pStyle w:val="null3"/>
                    <w:ind w:firstLine="480"/>
                    <w:jc w:val="both"/>
                  </w:pPr>
                  <w:r>
                    <w:rPr>
                      <w:rFonts w:ascii="仿宋_GB2312" w:hAnsi="仿宋_GB2312" w:cs="仿宋_GB2312" w:eastAsia="仿宋_GB2312"/>
                      <w:sz w:val="21"/>
                    </w:rPr>
                    <w:t>服务提供方需提供智慧云中心（智慧市监）演示、讲解培训服务及配套培训计划，培训地点由采购方确认，采用线下与线上远程相结合的形式开展。采购方负责场地组织等会务保障，场地及相关会务费用由采购方自行承担。</w:t>
                  </w:r>
                </w:p>
                <w:p>
                  <w:pPr>
                    <w:pStyle w:val="null3"/>
                    <w:ind w:firstLine="480"/>
                    <w:jc w:val="both"/>
                  </w:pPr>
                  <w:r>
                    <w:rPr>
                      <w:rFonts w:ascii="仿宋_GB2312" w:hAnsi="仿宋_GB2312" w:cs="仿宋_GB2312" w:eastAsia="仿宋_GB2312"/>
                      <w:sz w:val="21"/>
                    </w:rPr>
                    <w:t>培训目标分为两类：一是面向业务管理员、软件实施维护人员等系统操作员，使其熟练掌握系统业务管理与操作功能；二是面向系统管理员、数据库管理员等系统管理员，使其可独立完成系统使用与维护，掌握系统运行状态并自主排查常见故障。</w:t>
                  </w:r>
                </w:p>
                <w:p>
                  <w:pPr>
                    <w:pStyle w:val="null3"/>
                    <w:ind w:firstLine="480"/>
                    <w:jc w:val="both"/>
                  </w:pPr>
                  <w:r>
                    <w:rPr>
                      <w:rFonts w:ascii="仿宋_GB2312" w:hAnsi="仿宋_GB2312" w:cs="仿宋_GB2312" w:eastAsia="仿宋_GB2312"/>
                      <w:sz w:val="21"/>
                    </w:rPr>
                    <w:t>培训采取书面讲解与实际操作相结合的方式，驻场技术支持人员依据培训教材，讲解系统组成、工作原理与核心功能；理论讲解结束后，指导培训人员开展实际操作演练，确保培训效果达成。</w:t>
                  </w:r>
                </w:p>
                <w:p>
                  <w:pPr>
                    <w:pStyle w:val="null3"/>
                    <w:numPr>
                      <w:ilvl w:val="1"/>
                      <w:numId w:val="2"/>
                    </w:numPr>
                    <w:jc w:val="both"/>
                  </w:pPr>
                  <w:r>
                    <w:rPr>
                      <w:rFonts w:ascii="仿宋_GB2312" w:hAnsi="仿宋_GB2312" w:cs="仿宋_GB2312" w:eastAsia="仿宋_GB2312"/>
                      <w:sz w:val="21"/>
                      <w:b/>
                    </w:rPr>
                    <w:t>系统优化改善</w:t>
                  </w:r>
                </w:p>
                <w:p>
                  <w:pPr>
                    <w:pStyle w:val="null3"/>
                    <w:jc w:val="both"/>
                  </w:pPr>
                  <w:r>
                    <w:rPr>
                      <w:rFonts w:ascii="仿宋_GB2312" w:hAnsi="仿宋_GB2312" w:cs="仿宋_GB2312" w:eastAsia="仿宋_GB2312"/>
                      <w:sz w:val="21"/>
                      <w:b/>
                    </w:rPr>
                    <w:t>智慧云中心</w:t>
                  </w:r>
                </w:p>
                <w:p>
                  <w:pPr>
                    <w:pStyle w:val="null3"/>
                    <w:numPr>
                      <w:ilvl w:val="3"/>
                      <w:numId w:val="2"/>
                    </w:numPr>
                    <w:jc w:val="both"/>
                  </w:pPr>
                  <w:r>
                    <w:rPr>
                      <w:rFonts w:ascii="仿宋_GB2312" w:hAnsi="仿宋_GB2312" w:cs="仿宋_GB2312" w:eastAsia="仿宋_GB2312"/>
                      <w:sz w:val="21"/>
                      <w:b/>
                    </w:rPr>
                    <w:t>产品质量安全</w:t>
                  </w:r>
                </w:p>
                <w:p>
                  <w:pPr>
                    <w:pStyle w:val="null3"/>
                    <w:numPr>
                      <w:ilvl w:val="0"/>
                      <w:numId w:val="2"/>
                    </w:numPr>
                    <w:jc w:val="both"/>
                  </w:pPr>
                  <w:r>
                    <w:rPr>
                      <w:rFonts w:ascii="仿宋_GB2312" w:hAnsi="仿宋_GB2312" w:cs="仿宋_GB2312" w:eastAsia="仿宋_GB2312"/>
                      <w:sz w:val="21"/>
                    </w:rPr>
                    <w:t>生产许可管理：实现生产许可证书全维度统计，包含总量、有效、注销、撤销等数据，支持地市分布、年度趋势、产品类别等多维度可视化分析，支撑监管研判。</w:t>
                  </w:r>
                </w:p>
                <w:p>
                  <w:pPr>
                    <w:pStyle w:val="null3"/>
                    <w:numPr>
                      <w:ilvl w:val="0"/>
                      <w:numId w:val="2"/>
                    </w:numPr>
                    <w:jc w:val="both"/>
                  </w:pPr>
                  <w:r>
                    <w:rPr>
                      <w:rFonts w:ascii="仿宋_GB2312" w:hAnsi="仿宋_GB2312" w:cs="仿宋_GB2312" w:eastAsia="仿宋_GB2312"/>
                      <w:sz w:val="21"/>
                    </w:rPr>
                    <w:t>质量抽查管理：统计抽查批次、合格率、覆盖率等核心指标，支持地市分布、八大类产品合格率分析及不合格产品追踪管理。</w:t>
                  </w:r>
                </w:p>
                <w:p>
                  <w:pPr>
                    <w:pStyle w:val="null3"/>
                    <w:numPr>
                      <w:ilvl w:val="0"/>
                      <w:numId w:val="2"/>
                    </w:numPr>
                    <w:jc w:val="both"/>
                  </w:pPr>
                  <w:r>
                    <w:rPr>
                      <w:rFonts w:ascii="仿宋_GB2312" w:hAnsi="仿宋_GB2312" w:cs="仿宋_GB2312" w:eastAsia="仿宋_GB2312"/>
                      <w:sz w:val="21"/>
                    </w:rPr>
                    <w:t>企业主体管理：归集企业底数、工业产品企业库、质量管理人员等数据，统计各地市企业分布情况，支撑区域化数据监管。</w:t>
                  </w:r>
                </w:p>
                <w:p>
                  <w:pPr>
                    <w:pStyle w:val="null3"/>
                    <w:numPr>
                      <w:ilvl w:val="0"/>
                      <w:numId w:val="2"/>
                    </w:numPr>
                    <w:jc w:val="both"/>
                  </w:pPr>
                  <w:r>
                    <w:rPr>
                      <w:rFonts w:ascii="仿宋_GB2312" w:hAnsi="仿宋_GB2312" w:cs="仿宋_GB2312" w:eastAsia="仿宋_GB2312"/>
                      <w:sz w:val="21"/>
                    </w:rPr>
                    <w:t>监督检查管理：覆盖监督检查全流程，统计专项计划、检查、整改、复查、立案等数据，支持地市维度分析与量化考核。</w:t>
                  </w:r>
                </w:p>
                <w:p>
                  <w:pPr>
                    <w:pStyle w:val="null3"/>
                    <w:numPr>
                      <w:ilvl w:val="0"/>
                      <w:numId w:val="2"/>
                    </w:numPr>
                    <w:jc w:val="both"/>
                  </w:pPr>
                  <w:r>
                    <w:rPr>
                      <w:rFonts w:ascii="仿宋_GB2312" w:hAnsi="仿宋_GB2312" w:cs="仿宋_GB2312" w:eastAsia="仿宋_GB2312"/>
                      <w:sz w:val="21"/>
                    </w:rPr>
                    <w:t>追溯平台监测：统计追溯企业、未追溯企业、追溯码等核心数据</w:t>
                  </w:r>
                  <w:r>
                    <w:rPr>
                      <w:rFonts w:ascii="仿宋_GB2312" w:hAnsi="仿宋_GB2312" w:cs="仿宋_GB2312" w:eastAsia="仿宋_GB2312"/>
                      <w:sz w:val="21"/>
                    </w:rPr>
                    <w:t>，</w:t>
                  </w:r>
                  <w:r>
                    <w:rPr>
                      <w:rFonts w:ascii="仿宋_GB2312" w:hAnsi="仿宋_GB2312" w:cs="仿宋_GB2312" w:eastAsia="仿宋_GB2312"/>
                      <w:sz w:val="21"/>
                    </w:rPr>
                    <w:t>监测追溯平台运行状态，支撑追溯工作常态化管理。</w:t>
                  </w:r>
                </w:p>
                <w:p>
                  <w:pPr>
                    <w:pStyle w:val="null3"/>
                    <w:numPr>
                      <w:ilvl w:val="0"/>
                      <w:numId w:val="2"/>
                    </w:numPr>
                    <w:jc w:val="both"/>
                  </w:pPr>
                  <w:r>
                    <w:rPr>
                      <w:rFonts w:ascii="仿宋_GB2312" w:hAnsi="仿宋_GB2312" w:cs="仿宋_GB2312" w:eastAsia="仿宋_GB2312"/>
                      <w:sz w:val="21"/>
                    </w:rPr>
                    <w:t>备案信息管理：集中展示电动自行车备案信息，支持信息检索与核查，满足备案规范化管理需求</w:t>
                  </w:r>
                </w:p>
                <w:p>
                  <w:pPr>
                    <w:pStyle w:val="null3"/>
                    <w:numPr>
                      <w:ilvl w:val="3"/>
                      <w:numId w:val="2"/>
                    </w:numPr>
                    <w:jc w:val="both"/>
                  </w:pPr>
                  <w:r>
                    <w:rPr>
                      <w:rFonts w:ascii="仿宋_GB2312" w:hAnsi="仿宋_GB2312" w:cs="仿宋_GB2312" w:eastAsia="仿宋_GB2312"/>
                      <w:sz w:val="21"/>
                      <w:b/>
                    </w:rPr>
                    <w:t>数据资产</w:t>
                  </w:r>
                </w:p>
                <w:p>
                  <w:pPr>
                    <w:pStyle w:val="null3"/>
                    <w:numPr>
                      <w:ilvl w:val="0"/>
                      <w:numId w:val="2"/>
                    </w:numPr>
                    <w:jc w:val="both"/>
                  </w:pPr>
                  <w:r>
                    <w:rPr>
                      <w:rFonts w:ascii="仿宋_GB2312" w:hAnsi="仿宋_GB2312" w:cs="仿宋_GB2312" w:eastAsia="仿宋_GB2312"/>
                      <w:sz w:val="21"/>
                    </w:rPr>
                    <w:t>核心指标展示：支持展示资源总数及上月环比、总调用次数及上月环比、调用成功率、调用失败次数等核心数据指标。</w:t>
                  </w:r>
                </w:p>
                <w:p>
                  <w:pPr>
                    <w:pStyle w:val="null3"/>
                    <w:numPr>
                      <w:ilvl w:val="0"/>
                      <w:numId w:val="2"/>
                    </w:numPr>
                    <w:jc w:val="both"/>
                  </w:pPr>
                  <w:r>
                    <w:rPr>
                      <w:rFonts w:ascii="仿宋_GB2312" w:hAnsi="仿宋_GB2312" w:cs="仿宋_GB2312" w:eastAsia="仿宋_GB2312"/>
                      <w:sz w:val="21"/>
                    </w:rPr>
                    <w:t>多维度数据分析：支持按各系统维度统计调用次数，并展示调用次数占比分布情况。</w:t>
                  </w:r>
                </w:p>
                <w:p>
                  <w:pPr>
                    <w:pStyle w:val="null3"/>
                    <w:numPr>
                      <w:ilvl w:val="0"/>
                      <w:numId w:val="2"/>
                    </w:numPr>
                    <w:jc w:val="both"/>
                  </w:pPr>
                  <w:r>
                    <w:rPr>
                      <w:rFonts w:ascii="仿宋_GB2312" w:hAnsi="仿宋_GB2312" w:cs="仿宋_GB2312" w:eastAsia="仿宋_GB2312"/>
                      <w:sz w:val="21"/>
                    </w:rPr>
                    <w:t>数据推送明细展示：展示数据推送相关明细信息，包含推送时间、任务名称、调度类型、运行状态等内容</w:t>
                  </w:r>
                </w:p>
                <w:p>
                  <w:pPr>
                    <w:pStyle w:val="null3"/>
                    <w:jc w:val="both"/>
                  </w:pPr>
                  <w:r>
                    <w:rPr>
                      <w:rFonts w:ascii="仿宋_GB2312" w:hAnsi="仿宋_GB2312" w:cs="仿宋_GB2312" w:eastAsia="仿宋_GB2312"/>
                      <w:sz w:val="21"/>
                      <w:b/>
                    </w:rPr>
                    <w:t>智慧市监</w:t>
                  </w:r>
                </w:p>
                <w:p>
                  <w:pPr>
                    <w:pStyle w:val="null3"/>
                    <w:numPr>
                      <w:ilvl w:val="3"/>
                      <w:numId w:val="2"/>
                    </w:numPr>
                    <w:jc w:val="both"/>
                  </w:pPr>
                  <w:r>
                    <w:rPr>
                      <w:rFonts w:ascii="仿宋_GB2312" w:hAnsi="仿宋_GB2312" w:cs="仿宋_GB2312" w:eastAsia="仿宋_GB2312"/>
                      <w:sz w:val="21"/>
                      <w:b/>
                    </w:rPr>
                    <w:t>陕西省行政执法和执法监督一体化平台对接</w:t>
                  </w:r>
                </w:p>
                <w:p>
                  <w:pPr>
                    <w:pStyle w:val="null3"/>
                    <w:ind w:firstLine="420"/>
                    <w:jc w:val="both"/>
                  </w:pPr>
                  <w:r>
                    <w:rPr>
                      <w:rFonts w:ascii="仿宋_GB2312" w:hAnsi="仿宋_GB2312" w:cs="仿宋_GB2312" w:eastAsia="仿宋_GB2312"/>
                      <w:sz w:val="21"/>
                    </w:rPr>
                    <w:t>严格遵循强约束建设标准，实现</w:t>
                  </w:r>
                  <w:r>
                    <w:rPr>
                      <w:rFonts w:ascii="仿宋_GB2312" w:hAnsi="仿宋_GB2312" w:cs="仿宋_GB2312" w:eastAsia="仿宋_GB2312"/>
                      <w:sz w:val="21"/>
                    </w:rPr>
                    <w:t>司法厅陕西省行政执法和执法监督一体化平台和陕西智慧市监</w:t>
                  </w:r>
                  <w:r>
                    <w:rPr>
                      <w:rFonts w:ascii="仿宋_GB2312" w:hAnsi="仿宋_GB2312" w:cs="仿宋_GB2312" w:eastAsia="仿宋_GB2312"/>
                      <w:sz w:val="21"/>
                    </w:rPr>
                    <w:t>双向单点登录功能，统一跨平台访问渠道。支持用户登录任意一方系统后，即可免登录访问另一方系统，实现跨平台无缝切换访问，保障登录流程便捷、安全、统一。</w:t>
                  </w:r>
                </w:p>
                <w:p>
                  <w:pPr>
                    <w:pStyle w:val="null3"/>
                    <w:numPr>
                      <w:ilvl w:val="3"/>
                      <w:numId w:val="2"/>
                    </w:numPr>
                    <w:jc w:val="both"/>
                  </w:pPr>
                  <w:r>
                    <w:rPr>
                      <w:rFonts w:ascii="仿宋_GB2312" w:hAnsi="仿宋_GB2312" w:cs="仿宋_GB2312" w:eastAsia="仿宋_GB2312"/>
                      <w:sz w:val="21"/>
                      <w:b/>
                    </w:rPr>
                    <w:t>“智慧地市”功能模块</w:t>
                  </w:r>
                </w:p>
                <w:p>
                  <w:pPr>
                    <w:pStyle w:val="null3"/>
                    <w:numPr>
                      <w:ilvl w:val="0"/>
                      <w:numId w:val="2"/>
                    </w:numPr>
                    <w:jc w:val="both"/>
                  </w:pPr>
                  <w:r>
                    <w:rPr>
                      <w:rFonts w:ascii="仿宋_GB2312" w:hAnsi="仿宋_GB2312" w:cs="仿宋_GB2312" w:eastAsia="仿宋_GB2312"/>
                      <w:sz w:val="21"/>
                    </w:rPr>
                    <w:t>西安市一体化平台对接：完成与西安市一体化平台统一身份认证系统的对接实施，实现系统单点登录功能，用户可跨平台无缝访问，统一身份认证标准与权限管理体系</w:t>
                  </w:r>
                  <w:r>
                    <w:rPr>
                      <w:rFonts w:ascii="仿宋_GB2312" w:hAnsi="仿宋_GB2312" w:cs="仿宋_GB2312" w:eastAsia="仿宋_GB2312"/>
                      <w:sz w:val="21"/>
                    </w:rPr>
                    <w:t>；</w:t>
                  </w:r>
                </w:p>
                <w:p>
                  <w:pPr>
                    <w:pStyle w:val="null3"/>
                    <w:numPr>
                      <w:ilvl w:val="0"/>
                      <w:numId w:val="2"/>
                    </w:numPr>
                    <w:jc w:val="both"/>
                  </w:pPr>
                  <w:r>
                    <w:rPr>
                      <w:rFonts w:ascii="仿宋_GB2312" w:hAnsi="仿宋_GB2312" w:cs="仿宋_GB2312" w:eastAsia="仿宋_GB2312"/>
                      <w:sz w:val="21"/>
                    </w:rPr>
                    <w:t>扩展对接能力：预留标准化、规范化的系统对接接口及扩展架构，满足后续根据业务需求逐步接入</w:t>
                  </w:r>
                  <w:r>
                    <w:rPr>
                      <w:rFonts w:ascii="仿宋_GB2312" w:hAnsi="仿宋_GB2312" w:cs="仿宋_GB2312" w:eastAsia="仿宋_GB2312"/>
                      <w:sz w:val="21"/>
                    </w:rPr>
                    <w:t>其余</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个地市一体化平台的建设要求</w:t>
                  </w:r>
                  <w:r>
                    <w:rPr>
                      <w:rFonts w:ascii="仿宋_GB2312" w:hAnsi="仿宋_GB2312" w:cs="仿宋_GB2312" w:eastAsia="仿宋_GB2312"/>
                      <w:sz w:val="21"/>
                    </w:rPr>
                    <w:t>。</w:t>
                  </w:r>
                </w:p>
                <w:p>
                  <w:pPr>
                    <w:pStyle w:val="null3"/>
                    <w:numPr>
                      <w:ilvl w:val="3"/>
                      <w:numId w:val="2"/>
                    </w:numPr>
                    <w:jc w:val="both"/>
                  </w:pPr>
                  <w:r>
                    <w:rPr>
                      <w:rFonts w:ascii="仿宋_GB2312" w:hAnsi="仿宋_GB2312" w:cs="仿宋_GB2312" w:eastAsia="仿宋_GB2312"/>
                      <w:sz w:val="21"/>
                      <w:b/>
                    </w:rPr>
                    <w:t>小程序端应用</w:t>
                  </w:r>
                </w:p>
                <w:p>
                  <w:pPr>
                    <w:pStyle w:val="null3"/>
                    <w:numPr>
                      <w:ilvl w:val="0"/>
                      <w:numId w:val="2"/>
                    </w:numPr>
                    <w:jc w:val="both"/>
                  </w:pPr>
                  <w:r>
                    <w:rPr>
                      <w:rFonts w:ascii="仿宋_GB2312" w:hAnsi="仿宋_GB2312" w:cs="仿宋_GB2312" w:eastAsia="仿宋_GB2312"/>
                      <w:sz w:val="21"/>
                    </w:rPr>
                    <w:t>账号安全管理功能</w:t>
                  </w:r>
                </w:p>
                <w:p>
                  <w:pPr>
                    <w:pStyle w:val="null3"/>
                    <w:numPr>
                      <w:ilvl w:val="0"/>
                      <w:numId w:val="2"/>
                    </w:numPr>
                    <w:jc w:val="both"/>
                  </w:pPr>
                  <w:r>
                    <w:rPr>
                      <w:rFonts w:ascii="仿宋_GB2312" w:hAnsi="仿宋_GB2312" w:cs="仿宋_GB2312" w:eastAsia="仿宋_GB2312"/>
                      <w:sz w:val="21"/>
                    </w:rPr>
                    <w:t>支持标准登录验证机制，包含账号密码登录、短信验证码登录方式，验证流程符合账号安全规范，具备登录异常提醒功能；</w:t>
                  </w:r>
                </w:p>
                <w:p>
                  <w:pPr>
                    <w:pStyle w:val="null3"/>
                    <w:numPr>
                      <w:ilvl w:val="0"/>
                      <w:numId w:val="2"/>
                    </w:numPr>
                    <w:jc w:val="both"/>
                  </w:pPr>
                  <w:r>
                    <w:rPr>
                      <w:rFonts w:ascii="仿宋_GB2312" w:hAnsi="仿宋_GB2312" w:cs="仿宋_GB2312" w:eastAsia="仿宋_GB2312"/>
                      <w:sz w:val="21"/>
                    </w:rPr>
                    <w:t>支持多账号快速切换，用户可保存 3 个及以上已登录账号，实现一键切换不同账号权限，切换过程中数据不丢失、会话安全隔离；</w:t>
                  </w:r>
                </w:p>
                <w:p>
                  <w:pPr>
                    <w:pStyle w:val="null3"/>
                    <w:numPr>
                      <w:ilvl w:val="0"/>
                      <w:numId w:val="2"/>
                    </w:numPr>
                    <w:jc w:val="both"/>
                  </w:pPr>
                  <w:r>
                    <w:rPr>
                      <w:rFonts w:ascii="仿宋_GB2312" w:hAnsi="仿宋_GB2312" w:cs="仿宋_GB2312" w:eastAsia="仿宋_GB2312"/>
                      <w:sz w:val="21"/>
                    </w:rPr>
                    <w:t>具备安全退出功能，点击退出后立即清除本地会话缓存，终止账号有效登录状态，防止未授权访问；</w:t>
                  </w:r>
                </w:p>
                <w:p>
                  <w:pPr>
                    <w:pStyle w:val="null3"/>
                    <w:numPr>
                      <w:ilvl w:val="0"/>
                      <w:numId w:val="2"/>
                    </w:numPr>
                    <w:jc w:val="both"/>
                  </w:pPr>
                  <w:r>
                    <w:rPr>
                      <w:rFonts w:ascii="仿宋_GB2312" w:hAnsi="仿宋_GB2312" w:cs="仿宋_GB2312" w:eastAsia="仿宋_GB2312"/>
                      <w:sz w:val="21"/>
                    </w:rPr>
                    <w:t>支持定期密码更新机制，用户可自主设置密码更新周期，系统到期提醒用户修改密码，修改需遵循密码复杂度规则（长度、字符组合等）。</w:t>
                  </w:r>
                </w:p>
                <w:p>
                  <w:pPr>
                    <w:pStyle w:val="null3"/>
                    <w:numPr>
                      <w:ilvl w:val="0"/>
                      <w:numId w:val="2"/>
                    </w:numPr>
                    <w:jc w:val="both"/>
                  </w:pPr>
                  <w:r>
                    <w:rPr>
                      <w:rFonts w:ascii="仿宋_GB2312" w:hAnsi="仿宋_GB2312" w:cs="仿宋_GB2312" w:eastAsia="仿宋_GB2312"/>
                      <w:sz w:val="21"/>
                    </w:rPr>
                    <w:t>界面管理功能</w:t>
                  </w:r>
                </w:p>
                <w:p>
                  <w:pPr>
                    <w:pStyle w:val="null3"/>
                    <w:numPr>
                      <w:ilvl w:val="0"/>
                      <w:numId w:val="2"/>
                    </w:numPr>
                    <w:jc w:val="both"/>
                  </w:pPr>
                  <w:r>
                    <w:rPr>
                      <w:rFonts w:ascii="仿宋_GB2312" w:hAnsi="仿宋_GB2312" w:cs="仿宋_GB2312" w:eastAsia="仿宋_GB2312"/>
                      <w:sz w:val="21"/>
                    </w:rPr>
                    <w:t>支持频道模块视图展示，可按业务场景展示预设频道模块，模块布局、展示顺序与移动端保持一致，支持模块折叠/展开操作；</w:t>
                  </w:r>
                </w:p>
                <w:p>
                  <w:pPr>
                    <w:pStyle w:val="null3"/>
                    <w:numPr>
                      <w:ilvl w:val="0"/>
                      <w:numId w:val="2"/>
                    </w:numPr>
                    <w:jc w:val="both"/>
                  </w:pPr>
                  <w:r>
                    <w:rPr>
                      <w:rFonts w:ascii="仿宋_GB2312" w:hAnsi="仿宋_GB2312" w:cs="仿宋_GB2312" w:eastAsia="仿宋_GB2312"/>
                      <w:sz w:val="21"/>
                    </w:rPr>
                    <w:t>提供应用自定义功能，用户可根据使用习惯自定义频道模块展示内容，支持新增/删除频道模块、调整模块显示优先级；</w:t>
                  </w:r>
                </w:p>
                <w:p>
                  <w:pPr>
                    <w:pStyle w:val="null3"/>
                    <w:numPr>
                      <w:ilvl w:val="0"/>
                      <w:numId w:val="2"/>
                    </w:numPr>
                    <w:jc w:val="both"/>
                  </w:pPr>
                  <w:r>
                    <w:rPr>
                      <w:rFonts w:ascii="仿宋_GB2312" w:hAnsi="仿宋_GB2312" w:cs="仿宋_GB2312" w:eastAsia="仿宋_GB2312"/>
                      <w:sz w:val="21"/>
                    </w:rPr>
                    <w:t>配置应用快捷区，支持用户自定义快捷区功能入口，包含高频业务操作、常用数据模块等，快捷区配置与移动端同步生效。</w:t>
                  </w:r>
                </w:p>
                <w:p>
                  <w:pPr>
                    <w:pStyle w:val="null3"/>
                    <w:numPr>
                      <w:ilvl w:val="0"/>
                      <w:numId w:val="2"/>
                    </w:numPr>
                    <w:jc w:val="both"/>
                  </w:pPr>
                  <w:r>
                    <w:rPr>
                      <w:rFonts w:ascii="仿宋_GB2312" w:hAnsi="仿宋_GB2312" w:cs="仿宋_GB2312" w:eastAsia="仿宋_GB2312"/>
                      <w:sz w:val="21"/>
                    </w:rPr>
                    <w:t>信息管理功能</w:t>
                  </w:r>
                </w:p>
                <w:p>
                  <w:pPr>
                    <w:pStyle w:val="null3"/>
                    <w:ind w:firstLine="480"/>
                    <w:jc w:val="both"/>
                  </w:pPr>
                  <w:r>
                    <w:rPr>
                      <w:rFonts w:ascii="仿宋_GB2312" w:hAnsi="仿宋_GB2312" w:cs="仿宋_GB2312" w:eastAsia="仿宋_GB2312"/>
                      <w:sz w:val="21"/>
                    </w:rPr>
                    <w:t>具备联系人检索功能，支持按姓名、部门、联系方式等多维度检索联系人，检索结果实时展示</w:t>
                  </w:r>
                  <w:r>
                    <w:rPr>
                      <w:rFonts w:ascii="仿宋_GB2312" w:hAnsi="仿宋_GB2312" w:cs="仿宋_GB2312" w:eastAsia="仿宋_GB2312"/>
                      <w:sz w:val="21"/>
                    </w:rPr>
                    <w:t>；</w:t>
                  </w:r>
                  <w:r>
                    <w:rPr>
                      <w:rFonts w:ascii="仿宋_GB2312" w:hAnsi="仿宋_GB2312" w:cs="仿宋_GB2312" w:eastAsia="仿宋_GB2312"/>
                      <w:sz w:val="21"/>
                    </w:rPr>
                    <w:t>支持联系人详情查看，可查看联系人基础信息</w:t>
                  </w:r>
                  <w:r>
                    <w:rPr>
                      <w:rFonts w:ascii="仿宋_GB2312" w:hAnsi="仿宋_GB2312" w:cs="仿宋_GB2312" w:eastAsia="仿宋_GB2312"/>
                      <w:sz w:val="21"/>
                    </w:rPr>
                    <w:t>，</w:t>
                  </w:r>
                  <w:r>
                    <w:rPr>
                      <w:rFonts w:ascii="仿宋_GB2312" w:hAnsi="仿宋_GB2312" w:cs="仿宋_GB2312" w:eastAsia="仿宋_GB2312"/>
                      <w:sz w:val="21"/>
                    </w:rPr>
                    <w:t>详情页面与移动端展示格式、内容完全一致。</w:t>
                  </w:r>
                </w:p>
                <w:p>
                  <w:pPr>
                    <w:pStyle w:val="null3"/>
                    <w:numPr>
                      <w:ilvl w:val="0"/>
                      <w:numId w:val="2"/>
                    </w:numPr>
                    <w:jc w:val="both"/>
                  </w:pPr>
                  <w:r>
                    <w:rPr>
                      <w:rFonts w:ascii="仿宋_GB2312" w:hAnsi="仿宋_GB2312" w:cs="仿宋_GB2312" w:eastAsia="仿宋_GB2312"/>
                      <w:sz w:val="21"/>
                    </w:rPr>
                    <w:t>业务协同功能</w:t>
                  </w:r>
                </w:p>
                <w:p>
                  <w:pPr>
                    <w:pStyle w:val="null3"/>
                    <w:ind w:firstLine="480"/>
                    <w:jc w:val="both"/>
                  </w:pPr>
                  <w:r>
                    <w:rPr>
                      <w:rFonts w:ascii="仿宋_GB2312" w:hAnsi="仿宋_GB2312" w:cs="仿宋_GB2312" w:eastAsia="仿宋_GB2312"/>
                      <w:sz w:val="21"/>
                    </w:rPr>
                    <w:t>实现跨系统待办任务实时查看，同步展示移动端待办任务列表</w:t>
                  </w:r>
                  <w:r>
                    <w:rPr>
                      <w:rFonts w:ascii="仿宋_GB2312" w:hAnsi="仿宋_GB2312" w:cs="仿宋_GB2312" w:eastAsia="仿宋_GB2312"/>
                      <w:sz w:val="21"/>
                    </w:rPr>
                    <w:t>；</w:t>
                  </w:r>
                  <w:r>
                    <w:rPr>
                      <w:rFonts w:ascii="仿宋_GB2312" w:hAnsi="仿宋_GB2312" w:cs="仿宋_GB2312" w:eastAsia="仿宋_GB2312"/>
                      <w:sz w:val="21"/>
                    </w:rPr>
                    <w:t>支持待办任务一键跳转处理，点击任务可直接跳转至对应业务处理界面，完成任务办理、审批、反馈等全流程操作，跳转无数据延迟、功能断点。</w:t>
                  </w:r>
                </w:p>
                <w:p>
                  <w:pPr>
                    <w:pStyle w:val="null3"/>
                    <w:ind w:firstLine="480"/>
                    <w:jc w:val="both"/>
                  </w:pPr>
                  <w:r>
                    <w:rPr>
                      <w:rFonts w:ascii="仿宋_GB2312" w:hAnsi="仿宋_GB2312" w:cs="仿宋_GB2312" w:eastAsia="仿宋_GB2312"/>
                      <w:sz w:val="21"/>
                    </w:rPr>
                    <w:t>任务处理结果实时同步至后台系统，确保小程序端与移动端、后台系统数据一致，处理记录可追溯、可查询。</w:t>
                  </w:r>
                </w:p>
                <w:p>
                  <w:pPr>
                    <w:pStyle w:val="null3"/>
                    <w:numPr>
                      <w:ilvl w:val="0"/>
                      <w:numId w:val="2"/>
                    </w:numPr>
                    <w:jc w:val="both"/>
                  </w:pPr>
                  <w:r>
                    <w:rPr>
                      <w:rFonts w:ascii="仿宋_GB2312" w:hAnsi="仿宋_GB2312" w:cs="仿宋_GB2312" w:eastAsia="仿宋_GB2312"/>
                      <w:sz w:val="21"/>
                    </w:rPr>
                    <w:t>数据展示功能</w:t>
                  </w:r>
                </w:p>
                <w:p>
                  <w:pPr>
                    <w:pStyle w:val="null3"/>
                    <w:numPr>
                      <w:ilvl w:val="0"/>
                      <w:numId w:val="2"/>
                    </w:numPr>
                    <w:jc w:val="both"/>
                  </w:pPr>
                  <w:r>
                    <w:rPr>
                      <w:rFonts w:ascii="仿宋_GB2312" w:hAnsi="仿宋_GB2312" w:cs="仿宋_GB2312" w:eastAsia="仿宋_GB2312"/>
                      <w:sz w:val="21"/>
                    </w:rPr>
                    <w:t>实现智慧云中心数据移动端可视化能力在小程序端全覆盖，包含数据图表（折线图、柱状图、饼图等）、数据指标卡片、数据趋势分析等展示形式</w:t>
                  </w:r>
                  <w:r>
                    <w:rPr>
                      <w:rFonts w:ascii="仿宋_GB2312" w:hAnsi="仿宋_GB2312" w:cs="仿宋_GB2312" w:eastAsia="仿宋_GB2312"/>
                      <w:sz w:val="21"/>
                    </w:rPr>
                    <w:t>；</w:t>
                  </w:r>
                </w:p>
                <w:p>
                  <w:pPr>
                    <w:pStyle w:val="null3"/>
                    <w:numPr>
                      <w:ilvl w:val="0"/>
                      <w:numId w:val="2"/>
                    </w:numPr>
                    <w:jc w:val="both"/>
                  </w:pPr>
                  <w:r>
                    <w:rPr>
                      <w:rFonts w:ascii="仿宋_GB2312" w:hAnsi="仿宋_GB2312" w:cs="仿宋_GB2312" w:eastAsia="仿宋_GB2312"/>
                      <w:sz w:val="21"/>
                    </w:rPr>
                    <w:t>数据实时更新，小程序端展示的智慧云中心数据与移动端、后台系统数据同步，延迟不超过5分钟，支持数据筛选、刷新、分享等操作</w:t>
                  </w:r>
                  <w:r>
                    <w:rPr>
                      <w:rFonts w:ascii="仿宋_GB2312" w:hAnsi="仿宋_GB2312" w:cs="仿宋_GB2312" w:eastAsia="仿宋_GB2312"/>
                      <w:sz w:val="21"/>
                    </w:rPr>
                    <w:t>；</w:t>
                  </w:r>
                </w:p>
                <w:p>
                  <w:pPr>
                    <w:pStyle w:val="null3"/>
                    <w:numPr>
                      <w:ilvl w:val="0"/>
                      <w:numId w:val="2"/>
                    </w:numPr>
                    <w:jc w:val="both"/>
                  </w:pPr>
                  <w:r>
                    <w:rPr>
                      <w:rFonts w:ascii="仿宋_GB2312" w:hAnsi="仿宋_GB2312" w:cs="仿宋_GB2312" w:eastAsia="仿宋_GB2312"/>
                      <w:sz w:val="21"/>
                    </w:rPr>
                    <w:t>适配小程序终端屏幕尺寸，数据可视化界面自适应布局，保证在不同尺寸设备上的展示清晰度与操作便捷性。</w:t>
                  </w:r>
                </w:p>
                <w:p>
                  <w:pPr>
                    <w:pStyle w:val="null3"/>
                    <w:numPr>
                      <w:ilvl w:val="0"/>
                      <w:numId w:val="2"/>
                    </w:numPr>
                    <w:jc w:val="both"/>
                  </w:pPr>
                  <w:r>
                    <w:rPr>
                      <w:rFonts w:ascii="仿宋_GB2312" w:hAnsi="仿宋_GB2312" w:cs="仿宋_GB2312" w:eastAsia="仿宋_GB2312"/>
                      <w:sz w:val="21"/>
                    </w:rPr>
                    <w:t>数据展示功能</w:t>
                  </w:r>
                </w:p>
                <w:p>
                  <w:pPr>
                    <w:pStyle w:val="null3"/>
                    <w:numPr>
                      <w:ilvl w:val="0"/>
                      <w:numId w:val="2"/>
                    </w:numPr>
                    <w:jc w:val="both"/>
                  </w:pPr>
                  <w:r>
                    <w:rPr>
                      <w:rFonts w:ascii="仿宋_GB2312" w:hAnsi="仿宋_GB2312" w:cs="仿宋_GB2312" w:eastAsia="仿宋_GB2312"/>
                      <w:sz w:val="21"/>
                    </w:rPr>
                    <w:t>提供小程序端应用全生命周期管理后台，支持应用版本管理、功能配置、权限分配、用户行为监控等操作。</w:t>
                  </w:r>
                </w:p>
                <w:p>
                  <w:pPr>
                    <w:pStyle w:val="null3"/>
                    <w:numPr>
                      <w:ilvl w:val="0"/>
                      <w:numId w:val="2"/>
                    </w:numPr>
                    <w:jc w:val="both"/>
                  </w:pPr>
                  <w:r>
                    <w:rPr>
                      <w:rFonts w:ascii="仿宋_GB2312" w:hAnsi="仿宋_GB2312" w:cs="仿宋_GB2312" w:eastAsia="仿宋_GB2312"/>
                      <w:sz w:val="21"/>
                    </w:rPr>
                    <w:t>版本管理：支持小程序端应用版本迭代、发布、回滚操作，版本更新记录可追溯，更新提醒功能与移动端同步。</w:t>
                  </w:r>
                </w:p>
                <w:p>
                  <w:pPr>
                    <w:pStyle w:val="null3"/>
                    <w:numPr>
                      <w:ilvl w:val="0"/>
                      <w:numId w:val="2"/>
                    </w:numPr>
                    <w:jc w:val="both"/>
                  </w:pPr>
                  <w:r>
                    <w:rPr>
                      <w:rFonts w:ascii="仿宋_GB2312" w:hAnsi="仿宋_GB2312" w:cs="仿宋_GB2312" w:eastAsia="仿宋_GB2312"/>
                      <w:sz w:val="21"/>
                    </w:rPr>
                    <w:t>权限管理：可按角色、部门配置小程序端应用访问权限、功能操作权限，权限配置与移动端后台管理体系一致。</w:t>
                  </w:r>
                </w:p>
                <w:p>
                  <w:pPr>
                    <w:pStyle w:val="null3"/>
                    <w:numPr>
                      <w:ilvl w:val="0"/>
                      <w:numId w:val="2"/>
                    </w:numPr>
                    <w:jc w:val="both"/>
                  </w:pPr>
                  <w:r>
                    <w:rPr>
                      <w:rFonts w:ascii="仿宋_GB2312" w:hAnsi="仿宋_GB2312" w:cs="仿宋_GB2312" w:eastAsia="仿宋_GB2312"/>
                      <w:sz w:val="21"/>
                    </w:rPr>
                    <w:t>运维监控：支持小程序端用户登录日志、操作日志、异常行为监控，数据统计与移动端后台统计指标一致，保障应用稳定运行。</w:t>
                  </w:r>
                </w:p>
                <w:p>
                  <w:pPr>
                    <w:pStyle w:val="null3"/>
                    <w:numPr>
                      <w:ilvl w:val="1"/>
                      <w:numId w:val="2"/>
                    </w:numPr>
                    <w:jc w:val="both"/>
                  </w:pPr>
                  <w:r>
                    <w:rPr>
                      <w:rFonts w:ascii="仿宋_GB2312" w:hAnsi="仿宋_GB2312" w:cs="仿宋_GB2312" w:eastAsia="仿宋_GB2312"/>
                      <w:sz w:val="21"/>
                      <w:b/>
                    </w:rPr>
                    <w:t>数据处理服务</w:t>
                  </w:r>
                </w:p>
                <w:p>
                  <w:pPr>
                    <w:pStyle w:val="null3"/>
                    <w:jc w:val="both"/>
                  </w:pPr>
                  <w:r>
                    <w:rPr>
                      <w:rFonts w:ascii="仿宋_GB2312" w:hAnsi="仿宋_GB2312" w:cs="仿宋_GB2312" w:eastAsia="仿宋_GB2312"/>
                      <w:sz w:val="21"/>
                      <w:b/>
                    </w:rPr>
                    <w:t>数据处理内容</w:t>
                  </w:r>
                </w:p>
                <w:p>
                  <w:pPr>
                    <w:pStyle w:val="null3"/>
                    <w:ind w:firstLine="480"/>
                    <w:jc w:val="both"/>
                  </w:pPr>
                  <w:r>
                    <w:rPr>
                      <w:rFonts w:ascii="仿宋_GB2312" w:hAnsi="仿宋_GB2312" w:cs="仿宋_GB2312" w:eastAsia="仿宋_GB2312"/>
                      <w:sz w:val="21"/>
                    </w:rPr>
                    <w:t>包含全部从数据</w:t>
                  </w:r>
                  <w:r>
                    <w:rPr>
                      <w:rFonts w:ascii="仿宋_GB2312" w:hAnsi="仿宋_GB2312" w:cs="仿宋_GB2312" w:eastAsia="仿宋_GB2312"/>
                      <w:sz w:val="21"/>
                    </w:rPr>
                    <w:t>共享</w:t>
                  </w:r>
                  <w:r>
                    <w:rPr>
                      <w:rFonts w:ascii="仿宋_GB2312" w:hAnsi="仿宋_GB2312" w:cs="仿宋_GB2312" w:eastAsia="仿宋_GB2312"/>
                      <w:sz w:val="21"/>
                    </w:rPr>
                    <w:t>交换平台、数据中台以及其他业务系统接收到的数据。</w:t>
                  </w:r>
                </w:p>
                <w:p>
                  <w:pPr>
                    <w:pStyle w:val="null3"/>
                    <w:numPr>
                      <w:ilvl w:val="3"/>
                      <w:numId w:val="2"/>
                    </w:numPr>
                    <w:jc w:val="both"/>
                  </w:pPr>
                  <w:r>
                    <w:rPr>
                      <w:rFonts w:ascii="仿宋_GB2312" w:hAnsi="仿宋_GB2312" w:cs="仿宋_GB2312" w:eastAsia="仿宋_GB2312"/>
                      <w:sz w:val="21"/>
                      <w:b/>
                    </w:rPr>
                    <w:t>主题库分析思路</w:t>
                  </w:r>
                </w:p>
                <w:p>
                  <w:pPr>
                    <w:pStyle w:val="null3"/>
                    <w:ind w:firstLine="480"/>
                    <w:jc w:val="both"/>
                  </w:pPr>
                  <w:r>
                    <w:rPr>
                      <w:rFonts w:ascii="仿宋_GB2312" w:hAnsi="仿宋_GB2312" w:cs="仿宋_GB2312" w:eastAsia="仿宋_GB2312"/>
                      <w:sz w:val="21"/>
                    </w:rPr>
                    <w:t>宏观分析全省市场监管全业务，微观分析辖区信息，贯穿业务全流程，覆盖省局、地市局。具体包括执法稽查、登记注册、信用监管、价格监督检查和反不正当竞争、网络交易监管、广告监督管理、质量发展、产品质量安全监管、食品安全监管、特种设备安全监管、计量、标准管理、标准创新、认证监督、认可与检测检验、知识产权、药品监管等内容。进行综合分析梳理，形成主题库。</w:t>
                  </w:r>
                </w:p>
                <w:p>
                  <w:pPr>
                    <w:pStyle w:val="null3"/>
                    <w:numPr>
                      <w:ilvl w:val="3"/>
                      <w:numId w:val="2"/>
                    </w:numPr>
                    <w:jc w:val="both"/>
                  </w:pPr>
                  <w:r>
                    <w:rPr>
                      <w:rFonts w:ascii="仿宋_GB2312" w:hAnsi="仿宋_GB2312" w:cs="仿宋_GB2312" w:eastAsia="仿宋_GB2312"/>
                      <w:sz w:val="21"/>
                      <w:b/>
                    </w:rPr>
                    <w:t>专题</w:t>
                  </w:r>
                  <w:r>
                    <w:rPr>
                      <w:rFonts w:ascii="仿宋_GB2312" w:hAnsi="仿宋_GB2312" w:cs="仿宋_GB2312" w:eastAsia="仿宋_GB2312"/>
                      <w:sz w:val="21"/>
                      <w:b/>
                    </w:rPr>
                    <w:t>库分析思路</w:t>
                  </w:r>
                </w:p>
                <w:p>
                  <w:pPr>
                    <w:pStyle w:val="null3"/>
                    <w:ind w:firstLine="480"/>
                    <w:jc w:val="both"/>
                  </w:pPr>
                  <w:r>
                    <w:rPr>
                      <w:rFonts w:ascii="仿宋_GB2312" w:hAnsi="仿宋_GB2312" w:cs="仿宋_GB2312" w:eastAsia="仿宋_GB2312"/>
                      <w:sz w:val="21"/>
                    </w:rPr>
                    <w:t>从营商环境、四个安全、风险管控等不同维度进行业务分析，围绕市场监管领域重要职责，从营商环境（准入环境、竞争环境、消费环境）、四个安全（食品安全、药品安全、特种设备安全、工业品和消费品安全）和风险管控（综合风险、舆论热点）三个方向、9个专题，进行横向跨部门的信息和数据的分析，形成专题库。</w:t>
                  </w:r>
                </w:p>
                <w:p>
                  <w:pPr>
                    <w:pStyle w:val="null3"/>
                    <w:jc w:val="both"/>
                  </w:pPr>
                  <w:r>
                    <w:rPr>
                      <w:rFonts w:ascii="仿宋_GB2312" w:hAnsi="仿宋_GB2312" w:cs="仿宋_GB2312" w:eastAsia="仿宋_GB2312"/>
                      <w:sz w:val="21"/>
                      <w:b/>
                    </w:rPr>
                    <w:t>指标维护内容</w:t>
                  </w:r>
                </w:p>
                <w:p>
                  <w:pPr>
                    <w:pStyle w:val="null3"/>
                    <w:ind w:firstLine="480"/>
                    <w:jc w:val="both"/>
                  </w:pPr>
                  <w:r>
                    <w:rPr>
                      <w:rFonts w:ascii="仿宋_GB2312" w:hAnsi="仿宋_GB2312" w:cs="仿宋_GB2312" w:eastAsia="仿宋_GB2312"/>
                      <w:sz w:val="21"/>
                    </w:rPr>
                    <w:t>系统需具备数据质量核查能力，可调用内置核验规则或自定义核验规则，对完成清洗处理的数据进行定时质量检测；系统自动整合生成数据质量检查结果提示信息</w:t>
                  </w:r>
                  <w:r>
                    <w:rPr>
                      <w:rFonts w:ascii="仿宋_GB2312" w:hAnsi="仿宋_GB2312" w:cs="仿宋_GB2312" w:eastAsia="仿宋_GB2312"/>
                      <w:sz w:val="21"/>
                    </w:rPr>
                    <w:t>，</w:t>
                  </w:r>
                  <w:r>
                    <w:rPr>
                      <w:rFonts w:ascii="仿宋_GB2312" w:hAnsi="仿宋_GB2312" w:cs="仿宋_GB2312" w:eastAsia="仿宋_GB2312"/>
                      <w:sz w:val="21"/>
                    </w:rPr>
                    <w:t>支持通过提示信息关联查看明细数据，并完成信息发布与可视化展示；以核查结果为核心依据，指导数据清洗规则优化工作，实现数据质量的持续提升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实施要求</w:t>
                  </w:r>
                </w:p>
                <w:p>
                  <w:pPr>
                    <w:pStyle w:val="null3"/>
                    <w:numPr>
                      <w:ilvl w:val="1"/>
                      <w:numId w:val="2"/>
                    </w:numPr>
                    <w:jc w:val="both"/>
                  </w:pPr>
                  <w:r>
                    <w:rPr>
                      <w:rFonts w:ascii="仿宋_GB2312" w:hAnsi="仿宋_GB2312" w:cs="仿宋_GB2312" w:eastAsia="仿宋_GB2312"/>
                      <w:sz w:val="21"/>
                      <w:b/>
                    </w:rPr>
                    <w:t>日常运维服务人员组成及职责</w:t>
                  </w:r>
                </w:p>
                <w:p>
                  <w:pPr>
                    <w:pStyle w:val="null3"/>
                    <w:ind w:firstLine="480"/>
                    <w:jc w:val="both"/>
                  </w:pPr>
                  <w:r>
                    <w:rPr>
                      <w:rFonts w:ascii="仿宋_GB2312" w:hAnsi="仿宋_GB2312" w:cs="仿宋_GB2312" w:eastAsia="仿宋_GB2312"/>
                      <w:sz w:val="21"/>
                    </w:rPr>
                    <w:t>服务提供方应</w:t>
                  </w:r>
                  <w:r>
                    <w:rPr>
                      <w:rFonts w:ascii="仿宋_GB2312" w:hAnsi="仿宋_GB2312" w:cs="仿宋_GB2312" w:eastAsia="仿宋_GB2312"/>
                      <w:sz w:val="21"/>
                    </w:rPr>
                    <w:t>根据本项目运维需求，配置业务能力达标、技术水平合格的专职运维人员与质量管理人员；建立覆盖项目全周期的管理制度，对项目进度、服务质量、技术文档编制等工作进行全流程管控，保障项目合规、高效实施。为保障运维项目进度与质量，应组建专业运维团队，团队人员配置如下：</w:t>
                  </w:r>
                </w:p>
                <w:p>
                  <w:pPr>
                    <w:pStyle w:val="null3"/>
                    <w:numPr>
                      <w:ilvl w:val="0"/>
                      <w:numId w:val="2"/>
                    </w:numPr>
                    <w:jc w:val="both"/>
                  </w:pPr>
                  <w:r>
                    <w:rPr>
                      <w:rFonts w:ascii="仿宋_GB2312" w:hAnsi="仿宋_GB2312" w:cs="仿宋_GB2312" w:eastAsia="仿宋_GB2312"/>
                      <w:sz w:val="21"/>
                    </w:rPr>
                    <w:t>项目经理：1名</w:t>
                  </w:r>
                </w:p>
                <w:p>
                  <w:pPr>
                    <w:pStyle w:val="null3"/>
                    <w:numPr>
                      <w:ilvl w:val="0"/>
                      <w:numId w:val="2"/>
                    </w:numPr>
                    <w:jc w:val="both"/>
                  </w:pPr>
                  <w:r>
                    <w:rPr>
                      <w:rFonts w:ascii="仿宋_GB2312" w:hAnsi="仿宋_GB2312" w:cs="仿宋_GB2312" w:eastAsia="仿宋_GB2312"/>
                      <w:sz w:val="21"/>
                    </w:rPr>
                    <w:t>驻场技术支持人员：1名</w:t>
                  </w:r>
                </w:p>
                <w:p>
                  <w:pPr>
                    <w:pStyle w:val="null3"/>
                    <w:numPr>
                      <w:ilvl w:val="0"/>
                      <w:numId w:val="2"/>
                    </w:numPr>
                    <w:jc w:val="both"/>
                  </w:pPr>
                  <w:r>
                    <w:rPr>
                      <w:rFonts w:ascii="仿宋_GB2312" w:hAnsi="仿宋_GB2312" w:cs="仿宋_GB2312" w:eastAsia="仿宋_GB2312"/>
                      <w:sz w:val="21"/>
                    </w:rPr>
                    <w:t>驻场需求分析人员：1名</w:t>
                  </w:r>
                </w:p>
                <w:tbl>
                  <w:tblPr>
                    <w:tblBorders>
                      <w:top w:val="none" w:color="000000" w:sz="4"/>
                      <w:left w:val="none" w:color="000000" w:sz="4"/>
                      <w:bottom w:val="none" w:color="000000" w:sz="4"/>
                      <w:right w:val="none" w:color="000000" w:sz="4"/>
                      <w:insideH w:val="none"/>
                      <w:insideV w:val="none"/>
                    </w:tblBorders>
                  </w:tblPr>
                  <w:tblGrid>
                    <w:gridCol w:w="411"/>
                    <w:gridCol w:w="381"/>
                    <w:gridCol w:w="1545"/>
                  </w:tblGrid>
                  <w:tr>
                    <w:tc>
                      <w:tcPr>
                        <w:tcW w:type="dxa" w:w="411"/>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组织</w:t>
                        </w:r>
                      </w:p>
                    </w:tc>
                    <w:tc>
                      <w:tcPr>
                        <w:tcW w:type="dxa" w:w="381"/>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人员组成</w:t>
                        </w:r>
                      </w:p>
                    </w:tc>
                    <w:tc>
                      <w:tcPr>
                        <w:tcW w:type="dxa" w:w="1545"/>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ind w:firstLine="440"/>
                          <w:jc w:val="center"/>
                        </w:pPr>
                        <w:r>
                          <w:rPr>
                            <w:rFonts w:ascii="仿宋_GB2312" w:hAnsi="仿宋_GB2312" w:cs="仿宋_GB2312" w:eastAsia="仿宋_GB2312"/>
                            <w:sz w:val="21"/>
                          </w:rPr>
                          <w:t>职责分工</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项目经理</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由具备丰富项目经验，熟悉客户日常业务、掌握相关软件技术的人员担任</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负责根据项目要求组建项目团队；</w:t>
                        </w:r>
                      </w:p>
                      <w:p>
                        <w:pPr>
                          <w:pStyle w:val="null3"/>
                          <w:numPr>
                            <w:ilvl w:val="0"/>
                            <w:numId w:val="2"/>
                          </w:numPr>
                          <w:jc w:val="left"/>
                        </w:pPr>
                        <w:r>
                          <w:rPr>
                            <w:rFonts w:ascii="仿宋_GB2312" w:hAnsi="仿宋_GB2312" w:cs="仿宋_GB2312" w:eastAsia="仿宋_GB2312"/>
                            <w:sz w:val="21"/>
                          </w:rPr>
                          <w:t>制定科学有效的项目计划并根据项目实际情况动态调整；</w:t>
                        </w:r>
                      </w:p>
                      <w:p>
                        <w:pPr>
                          <w:pStyle w:val="null3"/>
                          <w:numPr>
                            <w:ilvl w:val="0"/>
                            <w:numId w:val="2"/>
                          </w:numPr>
                          <w:jc w:val="left"/>
                        </w:pPr>
                        <w:r>
                          <w:rPr>
                            <w:rFonts w:ascii="仿宋_GB2312" w:hAnsi="仿宋_GB2312" w:cs="仿宋_GB2312" w:eastAsia="仿宋_GB2312"/>
                            <w:sz w:val="21"/>
                          </w:rPr>
                          <w:t>领导项目团队按计划开展运维工作，确保项目进度满足约定要求；</w:t>
                        </w:r>
                      </w:p>
                      <w:p>
                        <w:pPr>
                          <w:pStyle w:val="null3"/>
                          <w:numPr>
                            <w:ilvl w:val="0"/>
                            <w:numId w:val="2"/>
                          </w:numPr>
                          <w:jc w:val="left"/>
                        </w:pPr>
                        <w:r>
                          <w:rPr>
                            <w:rFonts w:ascii="仿宋_GB2312" w:hAnsi="仿宋_GB2312" w:cs="仿宋_GB2312" w:eastAsia="仿宋_GB2312"/>
                            <w:sz w:val="21"/>
                          </w:rPr>
                          <w:t>全面管控项目质量，保障交付成果符合客户标准；</w:t>
                        </w:r>
                      </w:p>
                      <w:p>
                        <w:pPr>
                          <w:pStyle w:val="null3"/>
                          <w:numPr>
                            <w:ilvl w:val="0"/>
                            <w:numId w:val="2"/>
                          </w:numPr>
                          <w:jc w:val="left"/>
                        </w:pPr>
                        <w:r>
                          <w:rPr>
                            <w:rFonts w:ascii="仿宋_GB2312" w:hAnsi="仿宋_GB2312" w:cs="仿宋_GB2312" w:eastAsia="仿宋_GB2312"/>
                            <w:sz w:val="21"/>
                          </w:rPr>
                          <w:t>统筹协调项目实施过程中的内外部沟通对接，保障项目顺利推进；</w:t>
                        </w:r>
                      </w:p>
                      <w:p>
                        <w:pPr>
                          <w:pStyle w:val="null3"/>
                          <w:numPr>
                            <w:ilvl w:val="0"/>
                            <w:numId w:val="2"/>
                          </w:numPr>
                          <w:jc w:val="left"/>
                        </w:pPr>
                        <w:r>
                          <w:rPr>
                            <w:rFonts w:ascii="仿宋_GB2312" w:hAnsi="仿宋_GB2312" w:cs="仿宋_GB2312" w:eastAsia="仿宋_GB2312"/>
                            <w:sz w:val="21"/>
                          </w:rPr>
                          <w:t>定期向项目领导小组汇报项目进展、运行情况，开展风险预测与评估，确保项目实施效果；</w:t>
                        </w:r>
                      </w:p>
                      <w:p>
                        <w:pPr>
                          <w:pStyle w:val="null3"/>
                          <w:numPr>
                            <w:ilvl w:val="0"/>
                            <w:numId w:val="2"/>
                          </w:numPr>
                          <w:jc w:val="left"/>
                        </w:pPr>
                        <w:r>
                          <w:rPr>
                            <w:rFonts w:ascii="仿宋_GB2312" w:hAnsi="仿宋_GB2312" w:cs="仿宋_GB2312" w:eastAsia="仿宋_GB2312"/>
                            <w:sz w:val="21"/>
                          </w:rPr>
                          <w:t>全程参与项目各阶段工作，对项目整体实施负责。</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需求分析小组</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由熟悉客户日常业务的项目工程师、专家组成</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驻场对接需求方，收集、梳理、分析运维期间业务需求；</w:t>
                        </w:r>
                      </w:p>
                      <w:p>
                        <w:pPr>
                          <w:pStyle w:val="null3"/>
                          <w:numPr>
                            <w:ilvl w:val="0"/>
                            <w:numId w:val="2"/>
                          </w:numPr>
                          <w:jc w:val="left"/>
                        </w:pPr>
                        <w:r>
                          <w:rPr>
                            <w:rFonts w:ascii="仿宋_GB2312" w:hAnsi="仿宋_GB2312" w:cs="仿宋_GB2312" w:eastAsia="仿宋_GB2312"/>
                            <w:sz w:val="21"/>
                          </w:rPr>
                          <w:t>对接技术团队推进需求落地，跟踪实施进度、反馈实施效果，协助完善技术文档，保障需求与运维工作精准衔接。</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技术支持小组</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由专职运维人员组成</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驻场提供现场技术支持，负责系统日常运维、故障排查与处置、数据保障；配合完成系统调试、版本更新及技术文档整理，响应现场运维需求，保障系统稳定运行。</w:t>
                        </w:r>
                      </w:p>
                    </w:tc>
                  </w:tr>
                </w:tbl>
                <w:p>
                  <w:pPr>
                    <w:pStyle w:val="null3"/>
                    <w:numPr>
                      <w:ilvl w:val="1"/>
                      <w:numId w:val="2"/>
                    </w:numPr>
                    <w:jc w:val="both"/>
                  </w:pPr>
                  <w:r>
                    <w:rPr>
                      <w:rFonts w:ascii="仿宋_GB2312" w:hAnsi="仿宋_GB2312" w:cs="仿宋_GB2312" w:eastAsia="仿宋_GB2312"/>
                      <w:sz w:val="21"/>
                      <w:b/>
                    </w:rPr>
                    <w:t>安全管理要求</w:t>
                  </w:r>
                </w:p>
                <w:p>
                  <w:pPr>
                    <w:pStyle w:val="null3"/>
                    <w:jc w:val="both"/>
                  </w:pPr>
                  <w:r>
                    <w:rPr>
                      <w:rFonts w:ascii="仿宋_GB2312" w:hAnsi="仿宋_GB2312" w:cs="仿宋_GB2312" w:eastAsia="仿宋_GB2312"/>
                      <w:sz w:val="21"/>
                      <w:b/>
                    </w:rPr>
                    <w:t>商用密码应用安全性要求</w:t>
                  </w:r>
                </w:p>
                <w:p>
                  <w:pPr>
                    <w:pStyle w:val="null3"/>
                    <w:ind w:firstLine="480"/>
                    <w:jc w:val="both"/>
                  </w:pPr>
                  <w:r>
                    <w:rPr>
                      <w:rFonts w:ascii="仿宋_GB2312" w:hAnsi="仿宋_GB2312" w:cs="仿宋_GB2312" w:eastAsia="仿宋_GB2312"/>
                      <w:sz w:val="21"/>
                    </w:rPr>
                    <w:t>服务提供方</w:t>
                  </w:r>
                  <w:r>
                    <w:rPr>
                      <w:rFonts w:ascii="仿宋_GB2312" w:hAnsi="仿宋_GB2312" w:cs="仿宋_GB2312" w:eastAsia="仿宋_GB2312"/>
                      <w:sz w:val="21"/>
                    </w:rPr>
                    <w:t>需提供详细且符合国家商用密码规范的解决方案，并全程配合采购方开展商用密码测评相关工作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等保测评要求</w:t>
                  </w:r>
                </w:p>
                <w:p>
                  <w:pPr>
                    <w:pStyle w:val="null3"/>
                    <w:ind w:firstLine="480"/>
                    <w:jc w:val="both"/>
                  </w:pPr>
                  <w:r>
                    <w:rPr>
                      <w:rFonts w:ascii="仿宋_GB2312" w:hAnsi="仿宋_GB2312" w:cs="仿宋_GB2312" w:eastAsia="仿宋_GB2312"/>
                      <w:sz w:val="21"/>
                    </w:rPr>
                    <w:t>服务提供方</w:t>
                  </w:r>
                  <w:r>
                    <w:rPr>
                      <w:rFonts w:ascii="仿宋_GB2312" w:hAnsi="仿宋_GB2312" w:cs="仿宋_GB2312" w:eastAsia="仿宋_GB2312"/>
                      <w:sz w:val="21"/>
                    </w:rPr>
                    <w:t>需全程配合采购人完成网络安全等级保护测评相关工作。</w:t>
                  </w:r>
                </w:p>
                <w:p>
                  <w:pPr>
                    <w:pStyle w:val="null3"/>
                    <w:jc w:val="both"/>
                  </w:pPr>
                  <w:r>
                    <w:rPr>
                      <w:rFonts w:ascii="仿宋_GB2312" w:hAnsi="仿宋_GB2312" w:cs="仿宋_GB2312" w:eastAsia="仿宋_GB2312"/>
                      <w:sz w:val="21"/>
                      <w:b/>
                    </w:rPr>
                    <w:t>运维连续性要求</w:t>
                  </w:r>
                </w:p>
                <w:p>
                  <w:pPr>
                    <w:pStyle w:val="null3"/>
                    <w:ind w:firstLine="480"/>
                    <w:jc w:val="both"/>
                  </w:pPr>
                  <w:r>
                    <w:rPr>
                      <w:rFonts w:ascii="仿宋_GB2312" w:hAnsi="仿宋_GB2312" w:cs="仿宋_GB2312" w:eastAsia="仿宋_GB2312"/>
                      <w:sz w:val="21"/>
                    </w:rPr>
                    <w:t>服务提供方应建立完善的运维知识库与应急预案体系，覆盖基础支撑环境及相关产品运维全流程。若出现服务中断、服务能力不足等突发状况，需严格按照应急预案进行处置，由此产生的全部费用由</w:t>
                  </w:r>
                  <w:r>
                    <w:rPr>
                      <w:rFonts w:ascii="仿宋_GB2312" w:hAnsi="仿宋_GB2312" w:cs="仿宋_GB2312" w:eastAsia="仿宋_GB2312"/>
                      <w:sz w:val="21"/>
                    </w:rPr>
                    <w:t>服务提供方</w:t>
                  </w:r>
                  <w:r>
                    <w:rPr>
                      <w:rFonts w:ascii="仿宋_GB2312" w:hAnsi="仿宋_GB2312" w:cs="仿宋_GB2312" w:eastAsia="仿宋_GB2312"/>
                      <w:sz w:val="21"/>
                    </w:rPr>
                    <w:t>承担，确保</w:t>
                  </w:r>
                  <w:r>
                    <w:rPr>
                      <w:rFonts w:ascii="仿宋_GB2312" w:hAnsi="仿宋_GB2312" w:cs="仿宋_GB2312" w:eastAsia="仿宋_GB2312"/>
                      <w:sz w:val="21"/>
                    </w:rPr>
                    <w:t>陕西省市场监督管理局</w:t>
                  </w:r>
                  <w:r>
                    <w:rPr>
                      <w:rFonts w:ascii="仿宋_GB2312" w:hAnsi="仿宋_GB2312" w:cs="仿宋_GB2312" w:eastAsia="仿宋_GB2312"/>
                      <w:sz w:val="21"/>
                    </w:rPr>
                    <w:t>智慧云中心</w:t>
                  </w:r>
                  <w:r>
                    <w:rPr>
                      <w:rFonts w:ascii="仿宋_GB2312" w:hAnsi="仿宋_GB2312" w:cs="仿宋_GB2312" w:eastAsia="仿宋_GB2312"/>
                      <w:sz w:val="21"/>
                    </w:rPr>
                    <w:t>（</w:t>
                  </w:r>
                  <w:r>
                    <w:rPr>
                      <w:rFonts w:ascii="仿宋_GB2312" w:hAnsi="仿宋_GB2312" w:cs="仿宋_GB2312" w:eastAsia="仿宋_GB2312"/>
                      <w:sz w:val="21"/>
                    </w:rPr>
                    <w:t>智慧市监）平台</w:t>
                  </w:r>
                  <w:r>
                    <w:rPr>
                      <w:rFonts w:ascii="仿宋_GB2312" w:hAnsi="仿宋_GB2312" w:cs="仿宋_GB2312" w:eastAsia="仿宋_GB2312"/>
                      <w:sz w:val="21"/>
                    </w:rPr>
                    <w:t>连续、稳定、安全运行。保障系统软件7×24小时正常运行，优化运维管理、降低运营成本。依托日常运维数据及记录，形成系统整体规划、建设及扩容升级的专业参考报告，为系统迭代提供数据支撑。</w:t>
                  </w:r>
                </w:p>
                <w:p>
                  <w:pPr>
                    <w:pStyle w:val="null3"/>
                    <w:numPr>
                      <w:ilvl w:val="1"/>
                      <w:numId w:val="2"/>
                    </w:numPr>
                    <w:jc w:val="both"/>
                  </w:pPr>
                  <w:r>
                    <w:rPr>
                      <w:rFonts w:ascii="仿宋_GB2312" w:hAnsi="仿宋_GB2312" w:cs="仿宋_GB2312" w:eastAsia="仿宋_GB2312"/>
                      <w:sz w:val="21"/>
                      <w:b/>
                    </w:rPr>
                    <w:t>系统安全要求</w:t>
                  </w:r>
                </w:p>
                <w:p>
                  <w:pPr>
                    <w:pStyle w:val="null3"/>
                    <w:ind w:firstLine="480"/>
                    <w:jc w:val="left"/>
                  </w:pPr>
                  <w:r>
                    <w:rPr>
                      <w:rFonts w:ascii="仿宋_GB2312" w:hAnsi="仿宋_GB2312" w:cs="仿宋_GB2312" w:eastAsia="仿宋_GB2312"/>
                      <w:sz w:val="21"/>
                      <w:color w:val="000000"/>
                    </w:rPr>
                    <w:t>陕西省市场监督管理局智慧云</w:t>
                  </w:r>
                  <w:r>
                    <w:rPr>
                      <w:rFonts w:ascii="仿宋_GB2312" w:hAnsi="仿宋_GB2312" w:cs="仿宋_GB2312" w:eastAsia="仿宋_GB2312"/>
                      <w:sz w:val="21"/>
                      <w:color w:val="000000"/>
                    </w:rPr>
                    <w:t>中心</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智慧市监</w:t>
                  </w:r>
                  <w:r>
                    <w:rPr>
                      <w:rFonts w:ascii="仿宋_GB2312" w:hAnsi="仿宋_GB2312" w:cs="仿宋_GB2312" w:eastAsia="仿宋_GB2312"/>
                      <w:sz w:val="21"/>
                      <w:color w:val="000000"/>
                    </w:rPr>
                    <w:t>）平台安全保障体系以数据安全为核心，统筹考虑基础设施、数据支撑中心、应用支撑中心及应用业务的内部与外部安全保障要求；结合云计算与大数据技术的软硬件特征、应用特征与数据特征，构建全面、科学的系统安全方案。</w:t>
                  </w:r>
                </w:p>
                <w:p>
                  <w:pPr>
                    <w:pStyle w:val="null3"/>
                    <w:numPr>
                      <w:ilvl w:val="1"/>
                      <w:numId w:val="2"/>
                    </w:numPr>
                    <w:jc w:val="both"/>
                  </w:pPr>
                  <w:r>
                    <w:rPr>
                      <w:rFonts w:ascii="仿宋_GB2312" w:hAnsi="仿宋_GB2312" w:cs="仿宋_GB2312" w:eastAsia="仿宋_GB2312"/>
                      <w:sz w:val="21"/>
                      <w:b/>
                    </w:rPr>
                    <w:t>其他要求</w:t>
                  </w:r>
                </w:p>
                <w:p>
                  <w:pPr>
                    <w:pStyle w:val="null3"/>
                    <w:ind w:firstLine="480"/>
                    <w:jc w:val="both"/>
                  </w:pPr>
                  <w:r>
                    <w:rPr>
                      <w:rFonts w:ascii="仿宋_GB2312" w:hAnsi="仿宋_GB2312" w:cs="仿宋_GB2312" w:eastAsia="仿宋_GB2312"/>
                      <w:sz w:val="21"/>
                    </w:rPr>
                    <w:t>系统稳定性要求：在重要时刻前，对系统进行全面的健康检查，包括硬件、软件、网络等方面的检查，确保系统处于最佳状态。</w:t>
                  </w:r>
                </w:p>
                <w:p>
                  <w:pPr>
                    <w:pStyle w:val="null3"/>
                    <w:ind w:firstLine="480"/>
                    <w:jc w:val="both"/>
                  </w:pPr>
                  <w:r>
                    <w:rPr>
                      <w:rFonts w:ascii="仿宋_GB2312" w:hAnsi="仿宋_GB2312" w:cs="仿宋_GB2312" w:eastAsia="仿宋_GB2312"/>
                      <w:sz w:val="21"/>
                    </w:rPr>
                    <w:t>业务连续性要求：对关键业务应用进行性能优化，确保在业务高峰时段能够顺畅运行。</w:t>
                  </w:r>
                </w:p>
                <w:p>
                  <w:pPr>
                    <w:pStyle w:val="null3"/>
                    <w:ind w:firstLine="480"/>
                    <w:jc w:val="both"/>
                  </w:pPr>
                  <w:r>
                    <w:rPr>
                      <w:rFonts w:ascii="仿宋_GB2312" w:hAnsi="仿宋_GB2312" w:cs="仿宋_GB2312" w:eastAsia="仿宋_GB2312"/>
                      <w:sz w:val="21"/>
                    </w:rPr>
                    <w:t>人员配备与沟通要求：建立有效的沟通机制，确保运维团队与采购方、其他相关部门之间保持紧密的沟通和协作。</w:t>
                  </w:r>
                </w:p>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项目整体内容完成组织验收，通过验收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 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1、提供的资格证明文件是否符合国家法律法规和采购文件的要求，并且齐全、真实、有效； 2、响应文件是否按照采购文件要求的格式编写； 3、响应内容是否有重大缺漏项； 4、磋商报价是否具有唯一性； 5、响应文件的签署、加盖印章是否合格、有效； 6、磋商报价是否未超过采购预算； 7、磋商文件是否响应了采购文件要求的全部条款、条件和规格要求，并且提供了支持文件，没有重大偏离。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组织管理及质量保障</w:t>
            </w:r>
          </w:p>
        </w:tc>
        <w:tc>
          <w:tcPr>
            <w:tcW w:type="dxa" w:w="2492"/>
          </w:tcPr>
          <w:p>
            <w:pPr>
              <w:pStyle w:val="null3"/>
            </w:pPr>
            <w:r>
              <w:rPr>
                <w:rFonts w:ascii="仿宋_GB2312" w:hAnsi="仿宋_GB2312" w:cs="仿宋_GB2312" w:eastAsia="仿宋_GB2312"/>
              </w:rPr>
              <w:t>1、提供项目组织管理总体方案，包括组织架构方案、人力配置方案、项目监督方案、项目进度方案等，方案科学合理，先进，可操作性强，针对性强。 方案科学合理，先进，可操作性强，针对性强，完全满足本项目需求的得(4-6]分；方案较明确，具有较好的可操作性，能基本满足本项目需求的得(2-4]分；方案可操作性较差，能基本满足本项目需求的得(0-2]分。 2、质量保障方案是否具有完备的管理组织、项目实施规范和管理制度，是否有完善的质量管理体系，并能有效实施；拟投入本项目的管理与作业人员总数、作业设备、软件的综合水平情况。 整个项目的施工组织机构、人员安排有具体方案，分工合理、责任明确，并能够处理各类紧急事项的措施的得(4-6]分；项目的施工组织机构、人员安排方案较完整，分工较为合理、责任较为明确，针对各类紧急事项的措施较为简单的得(2-4]分；项目的施工组织机构、人员安排方案不完整，分工不合理、责任不明确，无法保障各类紧急事项的措施的得(0-2]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驻场人员配置</w:t>
            </w:r>
          </w:p>
        </w:tc>
        <w:tc>
          <w:tcPr>
            <w:tcW w:type="dxa" w:w="2492"/>
          </w:tcPr>
          <w:p>
            <w:pPr>
              <w:pStyle w:val="null3"/>
            </w:pPr>
            <w:r>
              <w:rPr>
                <w:rFonts w:ascii="仿宋_GB2312" w:hAnsi="仿宋_GB2312" w:cs="仿宋_GB2312" w:eastAsia="仿宋_GB2312"/>
              </w:rPr>
              <w:t>按投标人项目开发建设团队的组织机构、人员构成情况进行综合比较打分，驻场人员≥2 人，且具备系统运维、故障处理相关经验，配置合理得 6 分；1 人驻场得 3 分；不满足要求得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供应商具有投标人具有ISO9001质量管理体系认证证书、ISO27001信息安全管理体系认证证书、ISO20000信息技术服务管理体系证书，每个得1分，最高得3分。提供证明文件，并加盖投标人公章，不提供不得分。（复印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培训及售后保障</w:t>
            </w:r>
          </w:p>
        </w:tc>
        <w:tc>
          <w:tcPr>
            <w:tcW w:type="dxa" w:w="2492"/>
          </w:tcPr>
          <w:p>
            <w:pPr>
              <w:pStyle w:val="null3"/>
            </w:pPr>
            <w:r>
              <w:rPr>
                <w:rFonts w:ascii="仿宋_GB2312" w:hAnsi="仿宋_GB2312" w:cs="仿宋_GB2312" w:eastAsia="仿宋_GB2312"/>
              </w:rPr>
              <w:t>根据投标人的售后服务、技术支持能力与承诺优劣进行综合比较评价： 售后服务保障体系及措施完善，技术支持能力强，服务响应程度及时的得(7-10]分；售后服务保障体系及措施较好，技术支持能力较强，服务响应程度较快的得(4-7]分；售后服务保障体系及措施一般，技术支持能力较差，服务响应程度慢的得(1-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技术开发方案</w:t>
            </w:r>
          </w:p>
        </w:tc>
        <w:tc>
          <w:tcPr>
            <w:tcW w:type="dxa" w:w="2492"/>
          </w:tcPr>
          <w:p>
            <w:pPr>
              <w:pStyle w:val="null3"/>
            </w:pPr>
            <w:r>
              <w:rPr>
                <w:rFonts w:ascii="仿宋_GB2312" w:hAnsi="仿宋_GB2312" w:cs="仿宋_GB2312" w:eastAsia="仿宋_GB2312"/>
              </w:rPr>
              <w:t>根据投标人提供的技术方案进行评分，包含对本项目的技术需求、技术方案、保密要求、项目人员要求、软件开发环境要求、测试要求等，对所投内容进行评价。 方案科学合理，先进，可操作性强，针对性强，完全满足本项目需求的得(11-14]分；方案较明确，具有较好的可操作性，能基本满足本项目需求的得(8-11]分；方案可操作性较差，能基本满足本项目需求的得(4-8]分。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运维实施服务</w:t>
            </w:r>
          </w:p>
        </w:tc>
        <w:tc>
          <w:tcPr>
            <w:tcW w:type="dxa" w:w="2492"/>
          </w:tcPr>
          <w:p>
            <w:pPr>
              <w:pStyle w:val="null3"/>
            </w:pPr>
            <w:r>
              <w:rPr>
                <w:rFonts w:ascii="仿宋_GB2312" w:hAnsi="仿宋_GB2312" w:cs="仿宋_GB2312" w:eastAsia="仿宋_GB2312"/>
              </w:rPr>
              <w:t>根据投标人提供的运维服务方案进行评分：①项目运维服务内容②项目运维流程③项目运维响应方案④应急保障方案⑤运维考核方案。 每有一项内容完整且无缺陷的该项得5分，每有一项内容存在缺陷的该项得2分，每缺少一项的该项得0分。缺陷是指不适用于本项目，必要步骤缺失，前后不一致，语句有歧义，不符合相关标准、规范规定的情形）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软件安全措施</w:t>
            </w:r>
          </w:p>
        </w:tc>
        <w:tc>
          <w:tcPr>
            <w:tcW w:type="dxa" w:w="2492"/>
          </w:tcPr>
          <w:p>
            <w:pPr>
              <w:pStyle w:val="null3"/>
            </w:pPr>
            <w:r>
              <w:rPr>
                <w:rFonts w:ascii="仿宋_GB2312" w:hAnsi="仿宋_GB2312" w:cs="仿宋_GB2312" w:eastAsia="仿宋_GB2312"/>
              </w:rPr>
              <w:t>根据投标人提供的系统软件安全措施进行评分，包含对本项目的安全风险评估、系统安全措施、数据安全措施、应急恢复方案等，对所投内容进行评价。 措施科学合理，先进，可操作性强，针对性强，完全满足本项目需求的得(7-10]分；措施较明确，具有较好的可操作性，能基本满足本项目需求的得(4-7]分；措施可操作性较差，能基本满足本项目需求的得(1-3]分。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数据运维方案</w:t>
            </w:r>
          </w:p>
        </w:tc>
        <w:tc>
          <w:tcPr>
            <w:tcW w:type="dxa" w:w="2492"/>
          </w:tcPr>
          <w:p>
            <w:pPr>
              <w:pStyle w:val="null3"/>
            </w:pPr>
            <w:r>
              <w:rPr>
                <w:rFonts w:ascii="仿宋_GB2312" w:hAnsi="仿宋_GB2312" w:cs="仿宋_GB2312" w:eastAsia="仿宋_GB2312"/>
              </w:rPr>
              <w:t>投标人应详细描述数据处理方案，包括专题库和主题库的处理方法。对数据处理方案进行综合评价。 方案科学合理，先进，可操作性强，针对性强，完全满足本项目需求的得(7-10]分；方案较明确，具有较好的可操作性，能基本满足本项目需求的得(4-7]分；方案可操作性较差，能基本满足本项目需求的得(1-4]分。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