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60113E">
      <w:pPr>
        <w:spacing w:before="104" w:line="360" w:lineRule="auto"/>
        <w:ind w:left="2100" w:leftChars="509" w:right="1158" w:hanging="878" w:hangingChars="25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5"/>
          <w:sz w:val="32"/>
          <w:szCs w:val="32"/>
        </w:rPr>
        <w:t>陕西省结核病防治院(陕西省第五人民医院)</w:t>
      </w:r>
      <w:r>
        <w:rPr>
          <w:rFonts w:hint="eastAsia" w:ascii="仿宋" w:hAnsi="仿宋" w:eastAsia="仿宋" w:cs="仿宋"/>
          <w:spacing w:val="5"/>
          <w:sz w:val="32"/>
          <w:szCs w:val="32"/>
          <w:lang w:val="en-US" w:eastAsia="zh-CN"/>
        </w:rPr>
        <w:t>网络安全改造</w:t>
      </w:r>
      <w:r>
        <w:rPr>
          <w:rFonts w:ascii="仿宋" w:hAnsi="仿宋" w:eastAsia="仿宋" w:cs="仿宋"/>
          <w:spacing w:val="5"/>
          <w:sz w:val="32"/>
          <w:szCs w:val="32"/>
        </w:rPr>
        <w:t>项目合同</w:t>
      </w:r>
    </w:p>
    <w:p w14:paraId="55A74ED3">
      <w:pPr>
        <w:pStyle w:val="2"/>
        <w:spacing w:line="278" w:lineRule="auto"/>
      </w:pPr>
    </w:p>
    <w:p w14:paraId="70C7A1E8">
      <w:pPr>
        <w:pStyle w:val="2"/>
        <w:spacing w:line="278" w:lineRule="auto"/>
      </w:pPr>
    </w:p>
    <w:p w14:paraId="6FEE2CE8">
      <w:pPr>
        <w:spacing w:before="91" w:line="222" w:lineRule="auto"/>
        <w:ind w:firstLine="500" w:firstLineChars="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9"/>
          <w:sz w:val="28"/>
          <w:szCs w:val="28"/>
        </w:rPr>
        <w:t>甲  方：陕西省结核病防治院(陕西省第五人民医院)</w:t>
      </w:r>
    </w:p>
    <w:p w14:paraId="1D62BEA4">
      <w:pPr>
        <w:spacing w:before="293" w:line="222" w:lineRule="auto"/>
        <w:ind w:firstLine="500" w:firstLineChars="0"/>
        <w:rPr>
          <w:rFonts w:hint="eastAsia" w:ascii="仿宋" w:hAnsi="仿宋" w:eastAsia="仿宋" w:cs="仿宋"/>
          <w:spacing w:val="4"/>
          <w:sz w:val="28"/>
          <w:szCs w:val="28"/>
          <w:lang w:val="en-US" w:eastAsia="zh-CN"/>
        </w:rPr>
      </w:pPr>
      <w:r>
        <w:rPr>
          <w:rFonts w:ascii="仿宋" w:hAnsi="仿宋" w:eastAsia="仿宋" w:cs="仿宋"/>
          <w:spacing w:val="4"/>
          <w:sz w:val="28"/>
          <w:szCs w:val="28"/>
        </w:rPr>
        <w:t>乙  方：</w:t>
      </w:r>
      <w:r>
        <w:rPr>
          <w:rFonts w:hint="eastAsia" w:ascii="仿宋" w:hAnsi="仿宋" w:eastAsia="仿宋" w:cs="仿宋"/>
          <w:spacing w:val="4"/>
          <w:sz w:val="28"/>
          <w:szCs w:val="28"/>
          <w:lang w:val="en-US" w:eastAsia="zh-CN"/>
        </w:rPr>
        <w:t>(待定)</w:t>
      </w:r>
    </w:p>
    <w:p w14:paraId="4C511795">
      <w:pPr>
        <w:spacing w:before="293" w:line="222" w:lineRule="auto"/>
        <w:ind w:firstLine="500" w:firstLineChars="0"/>
        <w:rPr>
          <w:rFonts w:hint="default" w:ascii="仿宋" w:hAnsi="仿宋" w:eastAsia="仿宋" w:cs="仿宋"/>
          <w:spacing w:val="4"/>
          <w:sz w:val="28"/>
          <w:szCs w:val="28"/>
          <w:lang w:val="en-US" w:eastAsia="zh-CN"/>
        </w:rPr>
      </w:pPr>
    </w:p>
    <w:p w14:paraId="19AB346B">
      <w:pPr>
        <w:spacing w:before="41" w:line="222" w:lineRule="auto"/>
        <w:ind w:firstLine="500" w:firstLineChars="0"/>
        <w:rPr>
          <w:rFonts w:ascii="仿宋" w:hAnsi="仿宋" w:eastAsia="仿宋" w:cs="仿宋"/>
          <w:spacing w:val="11"/>
          <w:sz w:val="28"/>
          <w:szCs w:val="28"/>
        </w:rPr>
      </w:pPr>
      <w:r>
        <w:rPr>
          <w:rFonts w:ascii="仿宋" w:hAnsi="仿宋" w:eastAsia="仿宋" w:cs="仿宋"/>
          <w:spacing w:val="11"/>
          <w:sz w:val="28"/>
          <w:szCs w:val="28"/>
        </w:rPr>
        <w:t>根据《中华人民共和国民法典》及相关法律法规，甲方通过竞争性磋商采购确定乙方为本项目的成交方。双方协商一致签署本合同。</w:t>
      </w:r>
    </w:p>
    <w:p w14:paraId="43A9FDE0">
      <w:pPr>
        <w:spacing w:before="41" w:line="222" w:lineRule="auto"/>
        <w:ind w:firstLine="500" w:firstLineChars="0"/>
        <w:rPr>
          <w:rFonts w:ascii="仿宋" w:hAnsi="仿宋" w:eastAsia="仿宋" w:cs="仿宋"/>
          <w:spacing w:val="11"/>
          <w:sz w:val="28"/>
          <w:szCs w:val="28"/>
        </w:rPr>
      </w:pPr>
    </w:p>
    <w:p w14:paraId="1A9ABC68">
      <w:pPr>
        <w:spacing w:before="41" w:line="222" w:lineRule="auto"/>
        <w:ind w:firstLine="500" w:firstLineChars="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3"/>
          <w:sz w:val="28"/>
          <w:szCs w:val="28"/>
        </w:rPr>
        <w:t>一</w:t>
      </w:r>
      <w:r>
        <w:rPr>
          <w:rFonts w:ascii="仿宋" w:hAnsi="仿宋" w:eastAsia="仿宋" w:cs="仿宋"/>
          <w:spacing w:val="-7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3"/>
          <w:sz w:val="28"/>
          <w:szCs w:val="28"/>
        </w:rPr>
        <w:t>、合同文件</w:t>
      </w:r>
    </w:p>
    <w:p w14:paraId="08EBBB0D">
      <w:pPr>
        <w:spacing w:before="303" w:line="222" w:lineRule="auto"/>
        <w:ind w:left="58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4"/>
          <w:sz w:val="28"/>
          <w:szCs w:val="28"/>
        </w:rPr>
        <w:t>下列文件是构成本合同不可分割的部分：</w:t>
      </w:r>
    </w:p>
    <w:p w14:paraId="32BD5410">
      <w:pPr>
        <w:spacing w:before="304" w:line="222" w:lineRule="auto"/>
        <w:ind w:left="7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7"/>
          <w:sz w:val="28"/>
          <w:szCs w:val="28"/>
        </w:rPr>
        <w:t>(1)合同协议书；</w:t>
      </w:r>
    </w:p>
    <w:p w14:paraId="41E36BD3">
      <w:pPr>
        <w:spacing w:before="304" w:line="223" w:lineRule="auto"/>
        <w:ind w:left="7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31"/>
          <w:sz w:val="28"/>
          <w:szCs w:val="28"/>
        </w:rPr>
        <w:t>(2)专用条款</w:t>
      </w:r>
    </w:p>
    <w:p w14:paraId="684371E4">
      <w:pPr>
        <w:spacing w:before="311" w:line="222" w:lineRule="auto"/>
        <w:ind w:left="7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7"/>
          <w:sz w:val="28"/>
          <w:szCs w:val="28"/>
        </w:rPr>
        <w:t>(3)成交通知书；</w:t>
      </w:r>
    </w:p>
    <w:p w14:paraId="530444B9">
      <w:pPr>
        <w:spacing w:before="303" w:line="222" w:lineRule="auto"/>
        <w:ind w:left="7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21"/>
          <w:sz w:val="28"/>
          <w:szCs w:val="28"/>
        </w:rPr>
        <w:t>(4)磋商文件；</w:t>
      </w:r>
    </w:p>
    <w:p w14:paraId="6407931B">
      <w:pPr>
        <w:spacing w:before="293" w:line="222" w:lineRule="auto"/>
        <w:ind w:left="7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21"/>
          <w:sz w:val="28"/>
          <w:szCs w:val="28"/>
        </w:rPr>
        <w:t>(5)响应文件；</w:t>
      </w:r>
    </w:p>
    <w:p w14:paraId="49985A38">
      <w:pPr>
        <w:spacing w:before="291" w:line="221" w:lineRule="auto"/>
        <w:ind w:left="7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4"/>
          <w:sz w:val="28"/>
          <w:szCs w:val="28"/>
        </w:rPr>
        <w:t>(6)根据实际情况需要增加的内容。</w:t>
      </w:r>
    </w:p>
    <w:p w14:paraId="4D158395">
      <w:pPr>
        <w:spacing w:before="278" w:line="222" w:lineRule="auto"/>
        <w:ind w:left="58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3"/>
          <w:sz w:val="28"/>
          <w:szCs w:val="28"/>
        </w:rPr>
        <w:t>二</w:t>
      </w:r>
      <w:r>
        <w:rPr>
          <w:rFonts w:ascii="仿宋" w:hAnsi="仿宋" w:eastAsia="仿宋" w:cs="仿宋"/>
          <w:spacing w:val="-59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3"/>
          <w:sz w:val="28"/>
          <w:szCs w:val="28"/>
        </w:rPr>
        <w:t>、合同主要标的及数量</w:t>
      </w:r>
    </w:p>
    <w:p w14:paraId="57FE1CBA">
      <w:pPr>
        <w:spacing w:before="299" w:line="219" w:lineRule="auto"/>
        <w:ind w:right="27" w:firstLine="500" w:firstLineChars="0"/>
        <w:jc w:val="left"/>
        <w:rPr>
          <w:rFonts w:ascii="仿宋" w:hAnsi="仿宋" w:eastAsia="仿宋" w:cs="仿宋"/>
          <w:spacing w:val="-8"/>
          <w:sz w:val="28"/>
          <w:szCs w:val="28"/>
        </w:rPr>
      </w:pPr>
      <w:r>
        <w:rPr>
          <w:rFonts w:ascii="仿宋" w:hAnsi="仿宋" w:eastAsia="仿宋" w:cs="仿宋"/>
          <w:spacing w:val="11"/>
          <w:sz w:val="28"/>
          <w:szCs w:val="28"/>
        </w:rPr>
        <w:t>乙方应按照合同的规定，提供</w:t>
      </w:r>
      <w:r>
        <w:rPr>
          <w:rFonts w:hint="eastAsia" w:ascii="仿宋" w:hAnsi="仿宋" w:eastAsia="仿宋" w:cs="仿宋"/>
          <w:spacing w:val="11"/>
          <w:sz w:val="28"/>
          <w:szCs w:val="28"/>
          <w:lang w:val="en-US" w:eastAsia="zh-CN"/>
        </w:rPr>
        <w:t>网络安全改造</w:t>
      </w:r>
      <w:r>
        <w:rPr>
          <w:rFonts w:ascii="仿宋" w:hAnsi="仿宋" w:eastAsia="仿宋" w:cs="仿宋"/>
          <w:spacing w:val="11"/>
          <w:sz w:val="28"/>
          <w:szCs w:val="28"/>
        </w:rPr>
        <w:t>项目(以</w:t>
      </w:r>
      <w:r>
        <w:rPr>
          <w:rFonts w:hint="eastAsia" w:ascii="仿宋" w:hAnsi="仿宋" w:eastAsia="仿宋" w:cs="仿宋"/>
          <w:spacing w:val="11"/>
          <w:sz w:val="28"/>
          <w:szCs w:val="28"/>
          <w:lang w:eastAsia="zh-CN"/>
        </w:rPr>
        <w:t>下</w:t>
      </w:r>
      <w:r>
        <w:rPr>
          <w:rFonts w:ascii="仿宋" w:hAnsi="仿宋" w:eastAsia="仿宋" w:cs="仿宋"/>
          <w:spacing w:val="10"/>
          <w:sz w:val="28"/>
          <w:szCs w:val="28"/>
        </w:rPr>
        <w:t>简称“本项目”)《招标(采购)文件》中要</w:t>
      </w:r>
      <w:r>
        <w:rPr>
          <w:rFonts w:ascii="仿宋" w:hAnsi="仿宋" w:eastAsia="仿宋" w:cs="仿宋"/>
          <w:spacing w:val="9"/>
          <w:sz w:val="28"/>
          <w:szCs w:val="28"/>
        </w:rPr>
        <w:t>求的产品及服务，包</w:t>
      </w:r>
      <w:r>
        <w:rPr>
          <w:rFonts w:ascii="仿宋" w:hAnsi="仿宋" w:eastAsia="仿宋" w:cs="仿宋"/>
          <w:spacing w:val="-8"/>
          <w:sz w:val="28"/>
          <w:szCs w:val="28"/>
        </w:rPr>
        <w:t>括但不限于</w:t>
      </w:r>
      <w:r>
        <w:rPr>
          <w:rFonts w:hint="eastAsia" w:ascii="仿宋" w:hAnsi="仿宋" w:eastAsia="仿宋" w:cs="仿宋"/>
          <w:spacing w:val="-8"/>
          <w:sz w:val="28"/>
          <w:szCs w:val="28"/>
          <w:lang w:val="en-US" w:eastAsia="zh-CN"/>
        </w:rPr>
        <w:t>以</w:t>
      </w:r>
      <w:r>
        <w:rPr>
          <w:rFonts w:ascii="仿宋" w:hAnsi="仿宋" w:eastAsia="仿宋" w:cs="仿宋"/>
          <w:spacing w:val="-8"/>
          <w:sz w:val="28"/>
          <w:szCs w:val="28"/>
        </w:rPr>
        <w:t>下内容：</w:t>
      </w:r>
    </w:p>
    <w:tbl>
      <w:tblPr>
        <w:tblStyle w:val="6"/>
        <w:tblW w:w="823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67"/>
        <w:gridCol w:w="2896"/>
        <w:gridCol w:w="1404"/>
        <w:gridCol w:w="1199"/>
        <w:gridCol w:w="1070"/>
      </w:tblGrid>
      <w:tr w14:paraId="3C3633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  <w:jc w:val="center"/>
        </w:trPr>
        <w:tc>
          <w:tcPr>
            <w:tcW w:w="1667" w:type="dxa"/>
            <w:vAlign w:val="center"/>
          </w:tcPr>
          <w:p w14:paraId="7C701DE1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pacing w:val="1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10"/>
                <w:kern w:val="2"/>
                <w:sz w:val="28"/>
                <w:szCs w:val="28"/>
                <w:lang w:val="en-US" w:eastAsia="zh-CN" w:bidi="ar-SA"/>
              </w:rPr>
              <w:t>序号</w:t>
            </w:r>
          </w:p>
        </w:tc>
        <w:tc>
          <w:tcPr>
            <w:tcW w:w="2896" w:type="dxa"/>
            <w:vAlign w:val="center"/>
          </w:tcPr>
          <w:p w14:paraId="165D72B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right="0"/>
              <w:jc w:val="center"/>
              <w:textAlignment w:val="baseline"/>
              <w:rPr>
                <w:rFonts w:hint="default" w:ascii="仿宋" w:hAnsi="仿宋" w:eastAsia="仿宋" w:cs="仿宋"/>
                <w:b/>
                <w:bCs/>
                <w:spacing w:val="1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10"/>
                <w:kern w:val="2"/>
                <w:sz w:val="28"/>
                <w:szCs w:val="28"/>
                <w:lang w:val="en-US" w:eastAsia="zh-CN" w:bidi="ar-SA"/>
              </w:rPr>
              <w:t>设备名称</w:t>
            </w:r>
          </w:p>
        </w:tc>
        <w:tc>
          <w:tcPr>
            <w:tcW w:w="1404" w:type="dxa"/>
            <w:vAlign w:val="center"/>
          </w:tcPr>
          <w:p w14:paraId="14C9FF3B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pacing w:val="1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10"/>
                <w:kern w:val="2"/>
                <w:sz w:val="28"/>
                <w:szCs w:val="28"/>
                <w:lang w:val="en-US" w:eastAsia="zh-CN" w:bidi="ar-SA"/>
              </w:rPr>
              <w:t>数量</w:t>
            </w:r>
          </w:p>
        </w:tc>
        <w:tc>
          <w:tcPr>
            <w:tcW w:w="1199" w:type="dxa"/>
            <w:vAlign w:val="center"/>
          </w:tcPr>
          <w:p w14:paraId="3B604E38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pacing w:val="1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10"/>
                <w:kern w:val="2"/>
                <w:sz w:val="28"/>
                <w:szCs w:val="28"/>
                <w:lang w:val="en-US" w:eastAsia="zh-CN" w:bidi="ar-SA"/>
              </w:rPr>
              <w:t>预算</w:t>
            </w:r>
          </w:p>
          <w:p w14:paraId="18298AD7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pacing w:val="1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10"/>
                <w:kern w:val="2"/>
                <w:sz w:val="28"/>
                <w:szCs w:val="28"/>
                <w:lang w:val="en-US" w:eastAsia="zh-CN" w:bidi="ar-SA"/>
              </w:rPr>
              <w:t>金额</w:t>
            </w:r>
          </w:p>
        </w:tc>
        <w:tc>
          <w:tcPr>
            <w:tcW w:w="1070" w:type="dxa"/>
            <w:vAlign w:val="center"/>
          </w:tcPr>
          <w:p w14:paraId="14525123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pacing w:val="1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10"/>
                <w:kern w:val="2"/>
                <w:sz w:val="28"/>
                <w:szCs w:val="28"/>
                <w:lang w:val="en-US" w:eastAsia="zh-CN" w:bidi="ar-SA"/>
              </w:rPr>
              <w:t>最高</w:t>
            </w:r>
          </w:p>
          <w:p w14:paraId="579E558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pacing w:val="1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10"/>
                <w:kern w:val="2"/>
                <w:sz w:val="28"/>
                <w:szCs w:val="28"/>
                <w:lang w:val="en-US" w:eastAsia="zh-CN" w:bidi="ar-SA"/>
              </w:rPr>
              <w:t>限价</w:t>
            </w:r>
          </w:p>
        </w:tc>
      </w:tr>
      <w:tr w14:paraId="01D457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667" w:type="dxa"/>
            <w:vAlign w:val="center"/>
          </w:tcPr>
          <w:p w14:paraId="35B4E812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2896" w:type="dxa"/>
            <w:vAlign w:val="center"/>
          </w:tcPr>
          <w:p w14:paraId="04A453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default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负载均衡</w:t>
            </w:r>
          </w:p>
        </w:tc>
        <w:tc>
          <w:tcPr>
            <w:tcW w:w="1404" w:type="dxa"/>
            <w:vAlign w:val="center"/>
          </w:tcPr>
          <w:p w14:paraId="58768D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1199" w:type="dxa"/>
            <w:vAlign w:val="center"/>
          </w:tcPr>
          <w:p w14:paraId="4B14A4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70" w:type="dxa"/>
            <w:vAlign w:val="center"/>
          </w:tcPr>
          <w:p w14:paraId="7BBC5B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1B5C90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667" w:type="dxa"/>
            <w:vAlign w:val="center"/>
          </w:tcPr>
          <w:p w14:paraId="01CD36E2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2896" w:type="dxa"/>
            <w:vAlign w:val="center"/>
          </w:tcPr>
          <w:p w14:paraId="795015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互联网防火墙</w:t>
            </w:r>
          </w:p>
        </w:tc>
        <w:tc>
          <w:tcPr>
            <w:tcW w:w="1404" w:type="dxa"/>
            <w:vAlign w:val="center"/>
          </w:tcPr>
          <w:p w14:paraId="5760A7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1199" w:type="dxa"/>
            <w:vAlign w:val="center"/>
          </w:tcPr>
          <w:p w14:paraId="1E9D59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70" w:type="dxa"/>
            <w:vAlign w:val="center"/>
          </w:tcPr>
          <w:p w14:paraId="755425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0459EE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667" w:type="dxa"/>
            <w:vAlign w:val="center"/>
          </w:tcPr>
          <w:p w14:paraId="3C134D92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3</w:t>
            </w:r>
          </w:p>
        </w:tc>
        <w:tc>
          <w:tcPr>
            <w:tcW w:w="2896" w:type="dxa"/>
            <w:vAlign w:val="center"/>
          </w:tcPr>
          <w:p w14:paraId="3DAC57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上网行为管理</w:t>
            </w:r>
          </w:p>
        </w:tc>
        <w:tc>
          <w:tcPr>
            <w:tcW w:w="1404" w:type="dxa"/>
            <w:vAlign w:val="center"/>
          </w:tcPr>
          <w:p w14:paraId="7EAAA2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1199" w:type="dxa"/>
            <w:vAlign w:val="center"/>
          </w:tcPr>
          <w:p w14:paraId="5B4672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70" w:type="dxa"/>
            <w:vAlign w:val="center"/>
          </w:tcPr>
          <w:p w14:paraId="5858CE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277CC1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667" w:type="dxa"/>
            <w:vAlign w:val="center"/>
          </w:tcPr>
          <w:p w14:paraId="5C86443C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  <w:tc>
          <w:tcPr>
            <w:tcW w:w="2896" w:type="dxa"/>
            <w:vAlign w:val="center"/>
          </w:tcPr>
          <w:p w14:paraId="578A65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入侵防御</w:t>
            </w:r>
          </w:p>
        </w:tc>
        <w:tc>
          <w:tcPr>
            <w:tcW w:w="1404" w:type="dxa"/>
            <w:vAlign w:val="center"/>
          </w:tcPr>
          <w:p w14:paraId="36CF7A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1199" w:type="dxa"/>
            <w:vAlign w:val="center"/>
          </w:tcPr>
          <w:p w14:paraId="5C0B2E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70" w:type="dxa"/>
            <w:vAlign w:val="center"/>
          </w:tcPr>
          <w:p w14:paraId="5507E3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7D5B66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667" w:type="dxa"/>
            <w:vAlign w:val="center"/>
          </w:tcPr>
          <w:p w14:paraId="04ADF8A9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5</w:t>
            </w:r>
          </w:p>
        </w:tc>
        <w:tc>
          <w:tcPr>
            <w:tcW w:w="2896" w:type="dxa"/>
            <w:vAlign w:val="center"/>
          </w:tcPr>
          <w:p w14:paraId="579964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VPN</w:t>
            </w:r>
          </w:p>
        </w:tc>
        <w:tc>
          <w:tcPr>
            <w:tcW w:w="1404" w:type="dxa"/>
            <w:vAlign w:val="center"/>
          </w:tcPr>
          <w:p w14:paraId="07AFA4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1199" w:type="dxa"/>
            <w:vAlign w:val="center"/>
          </w:tcPr>
          <w:p w14:paraId="0F0989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70" w:type="dxa"/>
            <w:vAlign w:val="center"/>
          </w:tcPr>
          <w:p w14:paraId="423E18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7D8863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667" w:type="dxa"/>
            <w:vAlign w:val="center"/>
          </w:tcPr>
          <w:p w14:paraId="328D99FA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6</w:t>
            </w:r>
          </w:p>
        </w:tc>
        <w:tc>
          <w:tcPr>
            <w:tcW w:w="2896" w:type="dxa"/>
            <w:vAlign w:val="center"/>
          </w:tcPr>
          <w:p w14:paraId="7339F8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WEB应用防火墙</w:t>
            </w:r>
          </w:p>
        </w:tc>
        <w:tc>
          <w:tcPr>
            <w:tcW w:w="1404" w:type="dxa"/>
            <w:vAlign w:val="center"/>
          </w:tcPr>
          <w:p w14:paraId="0A1F20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1199" w:type="dxa"/>
            <w:vAlign w:val="center"/>
          </w:tcPr>
          <w:p w14:paraId="3150BB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70" w:type="dxa"/>
            <w:vAlign w:val="center"/>
          </w:tcPr>
          <w:p w14:paraId="64A31A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3D9E95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667" w:type="dxa"/>
            <w:vAlign w:val="center"/>
          </w:tcPr>
          <w:p w14:paraId="06BAFC28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2896" w:type="dxa"/>
            <w:shd w:val="clear" w:color="auto" w:fill="FFFFFF" w:themeFill="background1"/>
            <w:vAlign w:val="center"/>
          </w:tcPr>
          <w:p w14:paraId="5F006574">
            <w:pPr>
              <w:spacing w:line="240" w:lineRule="auto"/>
              <w:jc w:val="center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网闸</w:t>
            </w:r>
          </w:p>
        </w:tc>
        <w:tc>
          <w:tcPr>
            <w:tcW w:w="1404" w:type="dxa"/>
            <w:vAlign w:val="center"/>
          </w:tcPr>
          <w:p w14:paraId="56EAB4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1199" w:type="dxa"/>
            <w:vAlign w:val="center"/>
          </w:tcPr>
          <w:p w14:paraId="0CCEA1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70" w:type="dxa"/>
            <w:vAlign w:val="center"/>
          </w:tcPr>
          <w:p w14:paraId="2AE27C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25F4B8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667" w:type="dxa"/>
            <w:vAlign w:val="center"/>
          </w:tcPr>
          <w:p w14:paraId="4C472D05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8</w:t>
            </w:r>
          </w:p>
        </w:tc>
        <w:tc>
          <w:tcPr>
            <w:tcW w:w="2896" w:type="dxa"/>
            <w:shd w:val="clear" w:color="auto" w:fill="FFFFFF" w:themeFill="background1"/>
            <w:vAlign w:val="center"/>
          </w:tcPr>
          <w:p w14:paraId="347C2F0D">
            <w:pPr>
              <w:spacing w:line="240" w:lineRule="auto"/>
              <w:jc w:val="center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综合防火墙</w:t>
            </w:r>
          </w:p>
        </w:tc>
        <w:tc>
          <w:tcPr>
            <w:tcW w:w="1404" w:type="dxa"/>
            <w:vAlign w:val="center"/>
          </w:tcPr>
          <w:p w14:paraId="60CF2A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1199" w:type="dxa"/>
            <w:vAlign w:val="center"/>
          </w:tcPr>
          <w:p w14:paraId="50C193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70" w:type="dxa"/>
            <w:vAlign w:val="center"/>
          </w:tcPr>
          <w:p w14:paraId="6C792A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510248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667" w:type="dxa"/>
            <w:vAlign w:val="center"/>
          </w:tcPr>
          <w:p w14:paraId="04A64A3F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9</w:t>
            </w:r>
          </w:p>
        </w:tc>
        <w:tc>
          <w:tcPr>
            <w:tcW w:w="2896" w:type="dxa"/>
            <w:shd w:val="clear" w:color="auto" w:fill="FFFFFF" w:themeFill="background1"/>
            <w:vAlign w:val="center"/>
          </w:tcPr>
          <w:p w14:paraId="706E1A42">
            <w:pPr>
              <w:spacing w:line="240" w:lineRule="auto"/>
              <w:jc w:val="center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数据库安全</w:t>
            </w:r>
          </w:p>
        </w:tc>
        <w:tc>
          <w:tcPr>
            <w:tcW w:w="1404" w:type="dxa"/>
            <w:vAlign w:val="center"/>
          </w:tcPr>
          <w:p w14:paraId="0B5B9D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1199" w:type="dxa"/>
            <w:vAlign w:val="center"/>
          </w:tcPr>
          <w:p w14:paraId="25B2D7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70" w:type="dxa"/>
            <w:vAlign w:val="center"/>
          </w:tcPr>
          <w:p w14:paraId="32BA40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539A62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667" w:type="dxa"/>
            <w:vAlign w:val="center"/>
          </w:tcPr>
          <w:p w14:paraId="4F24D691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default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10</w:t>
            </w:r>
          </w:p>
        </w:tc>
        <w:tc>
          <w:tcPr>
            <w:tcW w:w="2896" w:type="dxa"/>
            <w:shd w:val="clear" w:color="auto" w:fill="FFFFFF" w:themeFill="background1"/>
            <w:vAlign w:val="center"/>
          </w:tcPr>
          <w:p w14:paraId="637E8C05">
            <w:pPr>
              <w:spacing w:line="240" w:lineRule="auto"/>
              <w:jc w:val="center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日志审计</w:t>
            </w:r>
          </w:p>
        </w:tc>
        <w:tc>
          <w:tcPr>
            <w:tcW w:w="1404" w:type="dxa"/>
            <w:vAlign w:val="center"/>
          </w:tcPr>
          <w:p w14:paraId="409F49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1199" w:type="dxa"/>
            <w:vAlign w:val="center"/>
          </w:tcPr>
          <w:p w14:paraId="0FB453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70" w:type="dxa"/>
            <w:vAlign w:val="center"/>
          </w:tcPr>
          <w:p w14:paraId="53BD90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7A91D0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667" w:type="dxa"/>
            <w:vAlign w:val="center"/>
          </w:tcPr>
          <w:p w14:paraId="7527BF0E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default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11</w:t>
            </w:r>
          </w:p>
        </w:tc>
        <w:tc>
          <w:tcPr>
            <w:tcW w:w="2896" w:type="dxa"/>
            <w:shd w:val="clear" w:color="auto" w:fill="FFFFFF" w:themeFill="background1"/>
            <w:vAlign w:val="center"/>
          </w:tcPr>
          <w:p w14:paraId="3CDBA657">
            <w:pPr>
              <w:spacing w:line="240" w:lineRule="auto"/>
              <w:jc w:val="center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堡垒机</w:t>
            </w:r>
          </w:p>
        </w:tc>
        <w:tc>
          <w:tcPr>
            <w:tcW w:w="1404" w:type="dxa"/>
            <w:vAlign w:val="center"/>
          </w:tcPr>
          <w:p w14:paraId="0D7888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1199" w:type="dxa"/>
            <w:vAlign w:val="center"/>
          </w:tcPr>
          <w:p w14:paraId="53FFD4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70" w:type="dxa"/>
            <w:vAlign w:val="center"/>
          </w:tcPr>
          <w:p w14:paraId="388AEA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74DDAF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667" w:type="dxa"/>
            <w:vAlign w:val="center"/>
          </w:tcPr>
          <w:p w14:paraId="1EA2651E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default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12</w:t>
            </w:r>
          </w:p>
        </w:tc>
        <w:tc>
          <w:tcPr>
            <w:tcW w:w="2896" w:type="dxa"/>
            <w:shd w:val="clear" w:color="auto" w:fill="FFFFFF" w:themeFill="background1"/>
            <w:vAlign w:val="center"/>
          </w:tcPr>
          <w:p w14:paraId="286D5F94">
            <w:pPr>
              <w:spacing w:line="240" w:lineRule="auto"/>
              <w:jc w:val="center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漏洞扫描</w:t>
            </w:r>
          </w:p>
        </w:tc>
        <w:tc>
          <w:tcPr>
            <w:tcW w:w="1404" w:type="dxa"/>
            <w:vAlign w:val="center"/>
          </w:tcPr>
          <w:p w14:paraId="6C5FBC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1199" w:type="dxa"/>
            <w:vAlign w:val="center"/>
          </w:tcPr>
          <w:p w14:paraId="58ADCD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70" w:type="dxa"/>
            <w:vAlign w:val="center"/>
          </w:tcPr>
          <w:p w14:paraId="105F43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7A69DF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667" w:type="dxa"/>
            <w:vAlign w:val="center"/>
          </w:tcPr>
          <w:p w14:paraId="11CEC72F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default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13</w:t>
            </w:r>
          </w:p>
        </w:tc>
        <w:tc>
          <w:tcPr>
            <w:tcW w:w="2896" w:type="dxa"/>
            <w:shd w:val="clear" w:color="auto" w:fill="FFFFFF" w:themeFill="background1"/>
            <w:vAlign w:val="center"/>
          </w:tcPr>
          <w:p w14:paraId="1102CD90">
            <w:pPr>
              <w:spacing w:line="240" w:lineRule="auto"/>
              <w:jc w:val="center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准入控制</w:t>
            </w:r>
          </w:p>
        </w:tc>
        <w:tc>
          <w:tcPr>
            <w:tcW w:w="1404" w:type="dxa"/>
            <w:vAlign w:val="center"/>
          </w:tcPr>
          <w:p w14:paraId="67B58E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1199" w:type="dxa"/>
            <w:vAlign w:val="center"/>
          </w:tcPr>
          <w:p w14:paraId="11A614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70" w:type="dxa"/>
            <w:vAlign w:val="center"/>
          </w:tcPr>
          <w:p w14:paraId="6C4F3C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35C2A2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667" w:type="dxa"/>
            <w:vAlign w:val="center"/>
          </w:tcPr>
          <w:p w14:paraId="7DBF3255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default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14</w:t>
            </w:r>
          </w:p>
        </w:tc>
        <w:tc>
          <w:tcPr>
            <w:tcW w:w="2896" w:type="dxa"/>
            <w:shd w:val="clear" w:color="auto" w:fill="FFFFFF" w:themeFill="background1"/>
            <w:vAlign w:val="center"/>
          </w:tcPr>
          <w:p w14:paraId="184EA4CC">
            <w:pPr>
              <w:spacing w:line="240" w:lineRule="auto"/>
              <w:jc w:val="center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僵尸网络木马和蠕虫监测与处置系统</w:t>
            </w:r>
          </w:p>
        </w:tc>
        <w:tc>
          <w:tcPr>
            <w:tcW w:w="1404" w:type="dxa"/>
            <w:vAlign w:val="center"/>
          </w:tcPr>
          <w:p w14:paraId="009D44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1199" w:type="dxa"/>
            <w:vAlign w:val="center"/>
          </w:tcPr>
          <w:p w14:paraId="4940A1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70" w:type="dxa"/>
            <w:vAlign w:val="center"/>
          </w:tcPr>
          <w:p w14:paraId="4D1C81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27CB9B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667" w:type="dxa"/>
            <w:vAlign w:val="center"/>
          </w:tcPr>
          <w:p w14:paraId="1BC02EFC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default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15</w:t>
            </w:r>
          </w:p>
        </w:tc>
        <w:tc>
          <w:tcPr>
            <w:tcW w:w="2896" w:type="dxa"/>
            <w:shd w:val="clear" w:color="auto" w:fill="FFFFFF" w:themeFill="background1"/>
            <w:vAlign w:val="center"/>
          </w:tcPr>
          <w:p w14:paraId="03B8E430">
            <w:pPr>
              <w:spacing w:line="240" w:lineRule="auto"/>
              <w:jc w:val="center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内网医保专线防火墙</w:t>
            </w:r>
          </w:p>
        </w:tc>
        <w:tc>
          <w:tcPr>
            <w:tcW w:w="1404" w:type="dxa"/>
            <w:vAlign w:val="center"/>
          </w:tcPr>
          <w:p w14:paraId="6EDE25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1199" w:type="dxa"/>
            <w:vAlign w:val="center"/>
          </w:tcPr>
          <w:p w14:paraId="3C3678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70" w:type="dxa"/>
            <w:vAlign w:val="center"/>
          </w:tcPr>
          <w:p w14:paraId="7B5D2D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5C7943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667" w:type="dxa"/>
            <w:vAlign w:val="center"/>
          </w:tcPr>
          <w:p w14:paraId="7D4610B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default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16</w:t>
            </w:r>
          </w:p>
        </w:tc>
        <w:tc>
          <w:tcPr>
            <w:tcW w:w="2896" w:type="dxa"/>
            <w:shd w:val="clear" w:color="auto" w:fill="FFFFFF" w:themeFill="background1"/>
            <w:vAlign w:val="center"/>
          </w:tcPr>
          <w:p w14:paraId="1C1343E5">
            <w:pPr>
              <w:spacing w:line="240" w:lineRule="auto"/>
              <w:jc w:val="center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院内核心数据安全备份</w:t>
            </w:r>
          </w:p>
        </w:tc>
        <w:tc>
          <w:tcPr>
            <w:tcW w:w="1404" w:type="dxa"/>
            <w:vAlign w:val="center"/>
          </w:tcPr>
          <w:p w14:paraId="395E50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1199" w:type="dxa"/>
            <w:vAlign w:val="center"/>
          </w:tcPr>
          <w:p w14:paraId="7C9743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70" w:type="dxa"/>
            <w:vAlign w:val="center"/>
          </w:tcPr>
          <w:p w14:paraId="2B58D8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17C3D5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667" w:type="dxa"/>
            <w:vAlign w:val="center"/>
          </w:tcPr>
          <w:p w14:paraId="6FDD020E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default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17</w:t>
            </w:r>
          </w:p>
        </w:tc>
        <w:tc>
          <w:tcPr>
            <w:tcW w:w="2896" w:type="dxa"/>
            <w:shd w:val="clear" w:color="auto" w:fill="FFFFFF" w:themeFill="background1"/>
            <w:vAlign w:val="center"/>
          </w:tcPr>
          <w:p w14:paraId="54BA1B1D">
            <w:pPr>
              <w:spacing w:line="240" w:lineRule="auto"/>
              <w:jc w:val="center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CA数字签名服务器</w:t>
            </w:r>
          </w:p>
        </w:tc>
        <w:tc>
          <w:tcPr>
            <w:tcW w:w="1404" w:type="dxa"/>
            <w:vAlign w:val="center"/>
          </w:tcPr>
          <w:p w14:paraId="34D970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1199" w:type="dxa"/>
            <w:vAlign w:val="center"/>
          </w:tcPr>
          <w:p w14:paraId="33D832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70" w:type="dxa"/>
            <w:vAlign w:val="center"/>
          </w:tcPr>
          <w:p w14:paraId="5362F2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0C4B47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667" w:type="dxa"/>
            <w:vAlign w:val="center"/>
          </w:tcPr>
          <w:p w14:paraId="51DF0542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default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18</w:t>
            </w:r>
          </w:p>
        </w:tc>
        <w:tc>
          <w:tcPr>
            <w:tcW w:w="2896" w:type="dxa"/>
            <w:shd w:val="clear" w:color="auto" w:fill="FFFFFF" w:themeFill="background1"/>
            <w:vAlign w:val="center"/>
          </w:tcPr>
          <w:p w14:paraId="7EA1F3B5">
            <w:pPr>
              <w:spacing w:line="240" w:lineRule="auto"/>
              <w:jc w:val="center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CA时间戳服务器</w:t>
            </w:r>
          </w:p>
        </w:tc>
        <w:tc>
          <w:tcPr>
            <w:tcW w:w="1404" w:type="dxa"/>
            <w:vAlign w:val="center"/>
          </w:tcPr>
          <w:p w14:paraId="2BAC7F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1199" w:type="dxa"/>
            <w:vAlign w:val="center"/>
          </w:tcPr>
          <w:p w14:paraId="29680E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70" w:type="dxa"/>
            <w:vAlign w:val="center"/>
          </w:tcPr>
          <w:p w14:paraId="2548E4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4E7488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667" w:type="dxa"/>
            <w:vAlign w:val="center"/>
          </w:tcPr>
          <w:p w14:paraId="10AD01DD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default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19</w:t>
            </w:r>
          </w:p>
        </w:tc>
        <w:tc>
          <w:tcPr>
            <w:tcW w:w="2896" w:type="dxa"/>
            <w:shd w:val="clear" w:color="auto" w:fill="FFFFFF" w:themeFill="background1"/>
            <w:vAlign w:val="center"/>
          </w:tcPr>
          <w:p w14:paraId="11C5DE1B">
            <w:pPr>
              <w:spacing w:line="240" w:lineRule="auto"/>
              <w:jc w:val="center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汇聚交换机1</w:t>
            </w:r>
          </w:p>
        </w:tc>
        <w:tc>
          <w:tcPr>
            <w:tcW w:w="1404" w:type="dxa"/>
            <w:vAlign w:val="center"/>
          </w:tcPr>
          <w:p w14:paraId="22CB51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1199" w:type="dxa"/>
            <w:vAlign w:val="center"/>
          </w:tcPr>
          <w:p w14:paraId="1EE1F4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70" w:type="dxa"/>
            <w:vAlign w:val="center"/>
          </w:tcPr>
          <w:p w14:paraId="4B269C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0F91C2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667" w:type="dxa"/>
            <w:vAlign w:val="center"/>
          </w:tcPr>
          <w:p w14:paraId="4EA9CB77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default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20</w:t>
            </w:r>
          </w:p>
        </w:tc>
        <w:tc>
          <w:tcPr>
            <w:tcW w:w="2896" w:type="dxa"/>
            <w:shd w:val="clear" w:color="auto" w:fill="FFFFFF" w:themeFill="background1"/>
            <w:vAlign w:val="center"/>
          </w:tcPr>
          <w:p w14:paraId="16A45713">
            <w:pPr>
              <w:spacing w:line="240" w:lineRule="auto"/>
              <w:jc w:val="center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汇聚交换机2</w:t>
            </w:r>
          </w:p>
        </w:tc>
        <w:tc>
          <w:tcPr>
            <w:tcW w:w="1404" w:type="dxa"/>
            <w:vAlign w:val="center"/>
          </w:tcPr>
          <w:p w14:paraId="5D5D70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1199" w:type="dxa"/>
            <w:vAlign w:val="center"/>
          </w:tcPr>
          <w:p w14:paraId="718E84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70" w:type="dxa"/>
            <w:vAlign w:val="center"/>
          </w:tcPr>
          <w:p w14:paraId="41D381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6953F2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667" w:type="dxa"/>
            <w:vAlign w:val="center"/>
          </w:tcPr>
          <w:p w14:paraId="19E3E74F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default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21</w:t>
            </w:r>
          </w:p>
        </w:tc>
        <w:tc>
          <w:tcPr>
            <w:tcW w:w="2896" w:type="dxa"/>
            <w:shd w:val="clear" w:color="auto" w:fill="FFFFFF" w:themeFill="background1"/>
            <w:vAlign w:val="center"/>
          </w:tcPr>
          <w:p w14:paraId="2CBC859D">
            <w:pPr>
              <w:spacing w:line="240" w:lineRule="auto"/>
              <w:jc w:val="center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42U服务器机柜</w:t>
            </w:r>
          </w:p>
        </w:tc>
        <w:tc>
          <w:tcPr>
            <w:tcW w:w="1404" w:type="dxa"/>
            <w:vAlign w:val="center"/>
          </w:tcPr>
          <w:p w14:paraId="1C76E6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1199" w:type="dxa"/>
            <w:vAlign w:val="center"/>
          </w:tcPr>
          <w:p w14:paraId="374FF8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70" w:type="dxa"/>
            <w:vAlign w:val="center"/>
          </w:tcPr>
          <w:p w14:paraId="5C7443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59B6E6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8236" w:type="dxa"/>
            <w:gridSpan w:val="5"/>
            <w:vAlign w:val="center"/>
          </w:tcPr>
          <w:p w14:paraId="34A07946">
            <w:pPr>
              <w:spacing w:before="299" w:line="219" w:lineRule="auto"/>
              <w:ind w:right="27" w:firstLine="500" w:firstLineChars="0"/>
              <w:jc w:val="left"/>
              <w:rPr>
                <w:rFonts w:hint="eastAsia" w:ascii="仿宋" w:hAnsi="仿宋" w:eastAsia="仿宋" w:cs="仿宋"/>
                <w:spacing w:val="11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11"/>
                <w:sz w:val="28"/>
                <w:szCs w:val="28"/>
              </w:rPr>
              <w:t>总价：元整(小写：¥</w:t>
            </w:r>
            <w:r>
              <w:rPr>
                <w:rFonts w:hint="eastAsia" w:ascii="仿宋" w:hAnsi="仿宋" w:eastAsia="仿宋" w:cs="仿宋"/>
                <w:spacing w:val="11"/>
                <w:sz w:val="28"/>
                <w:szCs w:val="28"/>
                <w:lang w:eastAsia="zh-CN"/>
              </w:rPr>
              <w:t>；</w:t>
            </w:r>
            <w:r>
              <w:rPr>
                <w:rFonts w:ascii="仿宋" w:hAnsi="仿宋" w:eastAsia="仿宋" w:cs="仿宋"/>
                <w:spacing w:val="11"/>
                <w:sz w:val="28"/>
                <w:szCs w:val="28"/>
              </w:rPr>
              <w:t>)(含税)</w:t>
            </w:r>
          </w:p>
        </w:tc>
      </w:tr>
    </w:tbl>
    <w:p w14:paraId="0A464152">
      <w:pPr>
        <w:spacing w:before="91" w:line="359" w:lineRule="auto"/>
        <w:ind w:right="1152"/>
        <w:jc w:val="left"/>
        <w:rPr>
          <w:rFonts w:ascii="仿宋" w:hAnsi="仿宋" w:eastAsia="仿宋" w:cs="仿宋"/>
          <w:spacing w:val="-8"/>
          <w:sz w:val="28"/>
          <w:szCs w:val="28"/>
        </w:rPr>
      </w:pPr>
    </w:p>
    <w:p w14:paraId="4E40EF0D">
      <w:pPr>
        <w:spacing w:before="278" w:line="222" w:lineRule="auto"/>
        <w:ind w:firstLine="500" w:firstLineChars="0"/>
        <w:rPr>
          <w:rFonts w:ascii="仿宋" w:hAnsi="仿宋" w:eastAsia="仿宋" w:cs="仿宋"/>
          <w:spacing w:val="3"/>
          <w:sz w:val="28"/>
          <w:szCs w:val="28"/>
        </w:rPr>
      </w:pPr>
      <w:r>
        <w:rPr>
          <w:rFonts w:ascii="仿宋" w:hAnsi="仿宋" w:eastAsia="仿宋" w:cs="仿宋"/>
          <w:spacing w:val="3"/>
          <w:sz w:val="28"/>
          <w:szCs w:val="28"/>
        </w:rPr>
        <w:t>三、合同总金额及付款方式</w:t>
      </w:r>
    </w:p>
    <w:p w14:paraId="13321C8C">
      <w:pPr>
        <w:pStyle w:val="7"/>
        <w:rPr>
          <w:rFonts w:hint="default" w:ascii="仿宋" w:hAnsi="仿宋" w:eastAsia="仿宋" w:cs="仿宋"/>
          <w:spacing w:val="3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spacing w:val="3"/>
          <w:kern w:val="2"/>
          <w:sz w:val="28"/>
          <w:szCs w:val="28"/>
          <w:lang w:val="en-US" w:eastAsia="zh-CN" w:bidi="ar-SA"/>
        </w:rPr>
        <w:t>第一笔付款：采购设备签收后，经初步验收，乙方</w:t>
      </w:r>
      <w:r>
        <w:rPr>
          <w:rFonts w:hint="default" w:ascii="仿宋" w:hAnsi="仿宋" w:eastAsia="仿宋" w:cs="仿宋"/>
          <w:spacing w:val="3"/>
          <w:kern w:val="2"/>
          <w:sz w:val="28"/>
          <w:szCs w:val="28"/>
          <w:lang w:val="en-US" w:eastAsia="zh-CN" w:bidi="ar-SA"/>
        </w:rPr>
        <w:t xml:space="preserve">出具全额发票后，达到付款条件起 30 日内，支付合同总金额的 </w:t>
      </w:r>
      <w:r>
        <w:rPr>
          <w:rFonts w:hint="eastAsia" w:ascii="仿宋" w:hAnsi="仿宋" w:eastAsia="仿宋" w:cs="仿宋"/>
          <w:spacing w:val="3"/>
          <w:kern w:val="2"/>
          <w:sz w:val="28"/>
          <w:szCs w:val="28"/>
          <w:lang w:val="en-US" w:eastAsia="zh-CN" w:bidi="ar-SA"/>
        </w:rPr>
        <w:t>70</w:t>
      </w:r>
      <w:r>
        <w:rPr>
          <w:rFonts w:hint="default" w:ascii="仿宋" w:hAnsi="仿宋" w:eastAsia="仿宋" w:cs="仿宋"/>
          <w:spacing w:val="3"/>
          <w:kern w:val="2"/>
          <w:sz w:val="28"/>
          <w:szCs w:val="28"/>
          <w:lang w:val="en-US" w:eastAsia="zh-CN" w:bidi="ar-SA"/>
        </w:rPr>
        <w:t>.00%。</w:t>
      </w:r>
    </w:p>
    <w:p w14:paraId="272AA37C">
      <w:pPr>
        <w:pStyle w:val="7"/>
        <w:rPr>
          <w:rFonts w:hint="default" w:ascii="仿宋" w:hAnsi="仿宋" w:eastAsia="仿宋" w:cs="仿宋"/>
          <w:spacing w:val="3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spacing w:val="3"/>
          <w:kern w:val="2"/>
          <w:sz w:val="28"/>
          <w:szCs w:val="28"/>
          <w:lang w:val="en-US" w:eastAsia="zh-CN" w:bidi="ar-SA"/>
        </w:rPr>
        <w:t>第二笔付款：</w:t>
      </w:r>
      <w:r>
        <w:rPr>
          <w:rFonts w:hint="default" w:ascii="仿宋" w:hAnsi="仿宋" w:eastAsia="仿宋" w:cs="仿宋"/>
          <w:spacing w:val="3"/>
          <w:kern w:val="2"/>
          <w:sz w:val="28"/>
          <w:szCs w:val="28"/>
          <w:lang w:val="en-US" w:eastAsia="zh-CN" w:bidi="ar-SA"/>
        </w:rPr>
        <w:t xml:space="preserve">采购设备安装完成调试完好，最终验收合格后，达到付款条件起30日内，支付合同总金额的 </w:t>
      </w:r>
      <w:r>
        <w:rPr>
          <w:rFonts w:hint="eastAsia" w:ascii="仿宋" w:hAnsi="仿宋" w:eastAsia="仿宋" w:cs="仿宋"/>
          <w:spacing w:val="3"/>
          <w:kern w:val="2"/>
          <w:sz w:val="28"/>
          <w:szCs w:val="28"/>
          <w:lang w:val="en-US" w:eastAsia="zh-CN" w:bidi="ar-SA"/>
        </w:rPr>
        <w:t>25</w:t>
      </w:r>
      <w:r>
        <w:rPr>
          <w:rFonts w:hint="default" w:ascii="仿宋" w:hAnsi="仿宋" w:eastAsia="仿宋" w:cs="仿宋"/>
          <w:spacing w:val="3"/>
          <w:kern w:val="2"/>
          <w:sz w:val="28"/>
          <w:szCs w:val="28"/>
          <w:lang w:val="en-US" w:eastAsia="zh-CN" w:bidi="ar-SA"/>
        </w:rPr>
        <w:t>.00%。</w:t>
      </w:r>
    </w:p>
    <w:p w14:paraId="351DB689">
      <w:pPr>
        <w:pStyle w:val="7"/>
        <w:rPr>
          <w:rFonts w:hint="default" w:ascii="仿宋" w:hAnsi="仿宋" w:eastAsia="仿宋" w:cs="仿宋"/>
          <w:spacing w:val="3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spacing w:val="3"/>
          <w:kern w:val="2"/>
          <w:sz w:val="28"/>
          <w:szCs w:val="28"/>
          <w:lang w:val="en-US" w:eastAsia="zh-CN" w:bidi="ar-SA"/>
        </w:rPr>
        <w:t>第三笔付款：验收合格后满三年，支付合同总金额的5%。</w:t>
      </w:r>
    </w:p>
    <w:p w14:paraId="40BE2BCF">
      <w:pPr>
        <w:spacing w:before="278" w:line="222" w:lineRule="auto"/>
        <w:ind w:firstLine="500" w:firstLineChars="0"/>
        <w:rPr>
          <w:rFonts w:ascii="仿宋" w:hAnsi="仿宋" w:eastAsia="仿宋" w:cs="仿宋"/>
          <w:spacing w:val="3"/>
          <w:sz w:val="28"/>
          <w:szCs w:val="28"/>
        </w:rPr>
      </w:pPr>
      <w:r>
        <w:rPr>
          <w:rFonts w:hint="default" w:ascii="仿宋" w:hAnsi="仿宋" w:eastAsia="仿宋" w:cs="仿宋"/>
          <w:spacing w:val="3"/>
          <w:kern w:val="2"/>
          <w:sz w:val="28"/>
          <w:szCs w:val="28"/>
          <w:lang w:val="en-US" w:eastAsia="zh-CN" w:bidi="ar-SA"/>
        </w:rPr>
        <w:t>四、交货与验收交货时间：合同签订之日起采购，定制、安装、调试</w:t>
      </w:r>
      <w:r>
        <w:rPr>
          <w:rFonts w:hint="eastAsia" w:ascii="仿宋" w:hAnsi="仿宋" w:eastAsia="仿宋" w:cs="仿宋"/>
          <w:spacing w:val="3"/>
          <w:kern w:val="2"/>
          <w:sz w:val="28"/>
          <w:szCs w:val="28"/>
          <w:lang w:val="en-US" w:eastAsia="zh-CN" w:bidi="ar-SA"/>
        </w:rPr>
        <w:t>40</w:t>
      </w:r>
      <w:r>
        <w:rPr>
          <w:rFonts w:hint="default" w:ascii="仿宋" w:hAnsi="仿宋" w:eastAsia="仿宋" w:cs="仿宋"/>
          <w:spacing w:val="3"/>
          <w:kern w:val="2"/>
          <w:sz w:val="28"/>
          <w:szCs w:val="28"/>
          <w:lang w:val="en-US" w:eastAsia="zh-CN" w:bidi="ar-SA"/>
        </w:rPr>
        <w:t>个日历日。交货地点：甲方指定地点。验收方式：甲方对货物外观、数量、包装等进行初步验收。设备安</w:t>
      </w:r>
      <w:r>
        <w:rPr>
          <w:rFonts w:ascii="仿宋" w:hAnsi="仿宋" w:eastAsia="仿宋" w:cs="仿宋"/>
          <w:spacing w:val="3"/>
          <w:sz w:val="28"/>
          <w:szCs w:val="28"/>
        </w:rPr>
        <w:t xml:space="preserve">装调试完成后进入7日试运行期，试运行结束后进行最终验收。验收合格后，双方签署书面验收单。 </w:t>
      </w:r>
    </w:p>
    <w:p w14:paraId="40B1D990">
      <w:pPr>
        <w:pStyle w:val="7"/>
        <w:rPr>
          <w:rFonts w:hint="eastAsia" w:ascii="仿宋" w:hAnsi="仿宋" w:eastAsia="仿宋" w:cs="仿宋"/>
          <w:spacing w:val="3"/>
          <w:kern w:val="2"/>
          <w:sz w:val="28"/>
          <w:szCs w:val="28"/>
          <w:lang w:val="en-US" w:eastAsia="zh-CN" w:bidi="ar-SA"/>
        </w:rPr>
      </w:pPr>
      <w:r>
        <w:rPr>
          <w:rFonts w:ascii="仿宋" w:hAnsi="仿宋" w:eastAsia="仿宋" w:cs="仿宋"/>
          <w:spacing w:val="3"/>
          <w:sz w:val="28"/>
          <w:szCs w:val="28"/>
        </w:rPr>
        <w:t>五、质量保证</w:t>
      </w:r>
      <w:r>
        <w:rPr>
          <w:rFonts w:hint="eastAsia" w:ascii="仿宋" w:hAnsi="仿宋" w:eastAsia="仿宋" w:cs="仿宋"/>
          <w:spacing w:val="3"/>
          <w:sz w:val="28"/>
          <w:szCs w:val="28"/>
          <w:lang w:eastAsia="zh-CN"/>
        </w:rPr>
        <w:t>：</w:t>
      </w:r>
      <w:r>
        <w:rPr>
          <w:rFonts w:ascii="仿宋" w:hAnsi="仿宋" w:eastAsia="仿宋" w:cs="仿宋"/>
          <w:spacing w:val="3"/>
          <w:sz w:val="28"/>
          <w:szCs w:val="28"/>
        </w:rPr>
        <w:t>质量保证期为验收合格之日起三年。质量保证期内</w:t>
      </w:r>
      <w:r>
        <w:rPr>
          <w:rFonts w:hint="eastAsia" w:ascii="仿宋" w:hAnsi="仿宋" w:eastAsia="仿宋" w:cs="仿宋"/>
          <w:spacing w:val="3"/>
          <w:kern w:val="2"/>
          <w:sz w:val="28"/>
          <w:szCs w:val="28"/>
          <w:lang w:val="en-US" w:eastAsia="zh-CN" w:bidi="ar-SA"/>
        </w:rPr>
        <w:t>，乙方免费维修或更换有缺陷的货物或部件。</w:t>
      </w:r>
    </w:p>
    <w:p w14:paraId="0AFF560D">
      <w:pPr>
        <w:pStyle w:val="7"/>
        <w:rPr>
          <w:rFonts w:hint="eastAsia" w:ascii="仿宋" w:hAnsi="仿宋" w:eastAsia="仿宋" w:cs="仿宋"/>
          <w:spacing w:val="3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spacing w:val="3"/>
          <w:kern w:val="2"/>
          <w:sz w:val="28"/>
          <w:szCs w:val="28"/>
          <w:lang w:val="en-US" w:eastAsia="zh-CN" w:bidi="ar-SA"/>
        </w:rPr>
        <w:t>六、违约责任迟延交货：甲方违约：未按约定支付费用逾期超过30日的，每逾期1日按逾期金额的0.5%支付违约金。</w:t>
      </w:r>
    </w:p>
    <w:p w14:paraId="42F80F2D">
      <w:pPr>
        <w:pStyle w:val="7"/>
        <w:rPr>
          <w:rFonts w:hint="eastAsia" w:ascii="仿宋" w:hAnsi="仿宋" w:eastAsia="仿宋" w:cs="仿宋"/>
          <w:spacing w:val="3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spacing w:val="3"/>
          <w:kern w:val="2"/>
          <w:sz w:val="28"/>
          <w:szCs w:val="28"/>
          <w:lang w:val="en-US" w:eastAsia="zh-CN" w:bidi="ar-SA"/>
        </w:rPr>
        <w:t xml:space="preserve">乙方违约：未按约定提供货物，每逾期1日按逾期金额的0.5%支付违约金，最高不超过合同价的20%。逾期超过10日，甲方有权解除合同。质量缺陷：乙方应按甲方要求退货、更换、修理或降价，并承担相关费用。 </w:t>
      </w:r>
    </w:p>
    <w:p w14:paraId="1774E0B2">
      <w:pPr>
        <w:pStyle w:val="7"/>
        <w:rPr>
          <w:rFonts w:hint="eastAsia" w:ascii="仿宋" w:hAnsi="仿宋" w:eastAsia="仿宋" w:cs="仿宋"/>
          <w:spacing w:val="3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spacing w:val="3"/>
          <w:kern w:val="2"/>
          <w:sz w:val="28"/>
          <w:szCs w:val="28"/>
          <w:lang w:val="en-US" w:eastAsia="zh-CN" w:bidi="ar-SA"/>
        </w:rPr>
        <w:t xml:space="preserve">七、合同生效本合同一式柒份，甲方执肆份、乙方执贰份、采购代理机构执壹份，自双方法定代表人或授权代表签字并加盖公章后生效。 </w:t>
      </w:r>
    </w:p>
    <w:p w14:paraId="3A3F4EBD">
      <w:pPr>
        <w:spacing w:before="278" w:line="222" w:lineRule="auto"/>
        <w:ind w:firstLine="500" w:firstLineChars="0"/>
        <w:rPr>
          <w:rFonts w:ascii="仿宋" w:hAnsi="仿宋" w:eastAsia="仿宋" w:cs="仿宋"/>
          <w:spacing w:val="3"/>
          <w:sz w:val="28"/>
          <w:szCs w:val="28"/>
        </w:rPr>
      </w:pPr>
      <w:r>
        <w:rPr>
          <w:rFonts w:ascii="仿宋" w:hAnsi="仿宋" w:eastAsia="仿宋" w:cs="仿宋"/>
          <w:spacing w:val="3"/>
          <w:sz w:val="28"/>
          <w:szCs w:val="28"/>
        </w:rPr>
        <w:t xml:space="preserve">甲方：陕西省结核病防治院（陕西省第五人民医院） </w:t>
      </w:r>
    </w:p>
    <w:p w14:paraId="5FBB3F8A">
      <w:pPr>
        <w:spacing w:before="278" w:line="222" w:lineRule="auto"/>
        <w:ind w:firstLine="500" w:firstLineChars="0"/>
        <w:rPr>
          <w:rFonts w:ascii="仿宋" w:hAnsi="仿宋" w:eastAsia="仿宋" w:cs="仿宋"/>
          <w:spacing w:val="3"/>
          <w:sz w:val="28"/>
          <w:szCs w:val="28"/>
        </w:rPr>
      </w:pPr>
      <w:r>
        <w:rPr>
          <w:rFonts w:ascii="仿宋" w:hAnsi="仿宋" w:eastAsia="仿宋" w:cs="仿宋"/>
          <w:spacing w:val="3"/>
          <w:sz w:val="28"/>
          <w:szCs w:val="28"/>
        </w:rPr>
        <w:t xml:space="preserve">地址：陕西省西安市长安区太乙宫镇上湾村甲字1号 </w:t>
      </w:r>
    </w:p>
    <w:p w14:paraId="646CBB31">
      <w:pPr>
        <w:spacing w:before="278" w:line="222" w:lineRule="auto"/>
        <w:ind w:firstLine="500" w:firstLineChars="0"/>
        <w:rPr>
          <w:rFonts w:ascii="仿宋" w:hAnsi="仿宋" w:eastAsia="仿宋" w:cs="仿宋"/>
          <w:spacing w:val="3"/>
          <w:sz w:val="28"/>
          <w:szCs w:val="28"/>
        </w:rPr>
      </w:pPr>
      <w:r>
        <w:rPr>
          <w:rFonts w:ascii="仿宋" w:hAnsi="仿宋" w:eastAsia="仿宋" w:cs="仿宋"/>
          <w:spacing w:val="3"/>
          <w:sz w:val="28"/>
          <w:szCs w:val="28"/>
        </w:rPr>
        <w:t xml:space="preserve">乙方：_________________________ </w:t>
      </w:r>
    </w:p>
    <w:p w14:paraId="16CB9F87">
      <w:pPr>
        <w:spacing w:before="278" w:line="222" w:lineRule="auto"/>
        <w:ind w:firstLine="500" w:firstLineChars="0"/>
        <w:rPr>
          <w:rFonts w:ascii="仿宋" w:hAnsi="仿宋" w:eastAsia="仿宋" w:cs="仿宋"/>
          <w:spacing w:val="3"/>
          <w:sz w:val="28"/>
          <w:szCs w:val="28"/>
        </w:rPr>
      </w:pPr>
      <w:r>
        <w:rPr>
          <w:rFonts w:ascii="仿宋" w:hAnsi="仿宋" w:eastAsia="仿宋" w:cs="仿宋"/>
          <w:spacing w:val="3"/>
          <w:sz w:val="28"/>
          <w:szCs w:val="28"/>
        </w:rPr>
        <w:t xml:space="preserve">地址：_________________________ </w:t>
      </w:r>
    </w:p>
    <w:p w14:paraId="4A8E09D7">
      <w:pPr>
        <w:spacing w:before="278" w:line="222" w:lineRule="auto"/>
        <w:ind w:firstLine="500" w:firstLineChars="0"/>
        <w:rPr>
          <w:rFonts w:ascii="仿宋" w:hAnsi="仿宋" w:eastAsia="仿宋" w:cs="仿宋"/>
          <w:spacing w:val="3"/>
          <w:sz w:val="28"/>
          <w:szCs w:val="28"/>
        </w:rPr>
      </w:pPr>
    </w:p>
    <w:p w14:paraId="44FA6B02">
      <w:pPr>
        <w:spacing w:before="278" w:line="222" w:lineRule="auto"/>
        <w:ind w:firstLine="500" w:firstLineChars="0"/>
        <w:rPr>
          <w:rFonts w:ascii="仿宋" w:hAnsi="仿宋" w:eastAsia="仿宋" w:cs="仿宋"/>
          <w:spacing w:val="3"/>
          <w:sz w:val="28"/>
          <w:szCs w:val="28"/>
        </w:rPr>
      </w:pPr>
      <w:r>
        <w:rPr>
          <w:rFonts w:ascii="仿宋" w:hAnsi="仿宋" w:eastAsia="仿宋" w:cs="仿宋"/>
          <w:spacing w:val="3"/>
          <w:sz w:val="28"/>
          <w:szCs w:val="28"/>
        </w:rPr>
        <w:t>（注：以上为简化版合同模板，具体条款可根据实际需求进一步调整。）</w:t>
      </w:r>
    </w:p>
    <w:p w14:paraId="7D254FD9">
      <w:bookmarkStart w:id="0" w:name="_GoBack"/>
      <w:bookmarkEnd w:id="0"/>
    </w:p>
    <w:sectPr>
      <w:pgSz w:w="11910" w:h="16840"/>
      <w:pgMar w:top="1440" w:right="1800" w:bottom="1440" w:left="1800" w:header="794" w:footer="794" w:gutter="0"/>
      <w:cols w:space="0" w:num="1"/>
      <w:rtlGutter w:val="0"/>
      <w:docGrid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E47D68"/>
    <w:rsid w:val="1AE47D68"/>
    <w:rsid w:val="3C32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宋体" w:hAnsi="宋体" w:eastAsia="宋体" w:cstheme="minorBidi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rPr>
      <w:rFonts w:cs="Times New Roman"/>
      <w:kern w:val="0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2026-04-14T11:34:00Z</dcterms:created>
  <dc:creator>admin</dc:creator>
  <cp:lastModifiedBy>admin</cp:lastModifiedBy>
  <dcterms:modified xsi:type="dcterms:W3CDTF">2026-04-14T11:35:12Z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F957D965F3104013AECA451F26277C29_11</vt:lpwstr>
  </property>
  <property fmtid="{D5CDD505-2E9C-101B-9397-08002B2CF9AE}" pid="4" name="KSOTemplateDocerSaveRecord">
    <vt:lpwstr>eyJoZGlkIjoiY2YzMTcxODczODNkNjg0NGQ4ODVkZWU3OWJjN2Y2ZjYiLCJ1c2VySWQiOiIyMzI0Njk3NzUifQ==</vt:lpwstr>
  </property>
</Properties>
</file>