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4ADAE"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馆区二道门外遮阳棚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工程量清单编制说明</w:t>
      </w:r>
    </w:p>
    <w:p w14:paraId="0325E29E">
      <w:pPr>
        <w:jc w:val="center"/>
        <w:rPr>
          <w:rFonts w:ascii="宋体" w:hAnsi="宋体" w:eastAsia="宋体" w:cs="宋体"/>
          <w:b/>
          <w:sz w:val="24"/>
        </w:rPr>
      </w:pPr>
    </w:p>
    <w:p w14:paraId="5DACB859">
      <w:pPr>
        <w:adjustRightInd w:val="0"/>
        <w:snapToGrid w:val="0"/>
        <w:spacing w:line="360" w:lineRule="auto"/>
        <w:ind w:left="602" w:right="-61" w:rightChars="-29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一、工程概况：</w:t>
      </w:r>
    </w:p>
    <w:p w14:paraId="2BA0912D">
      <w:pPr>
        <w:pStyle w:val="5"/>
        <w:widowControl/>
        <w:spacing w:beforeAutospacing="0" w:afterAutospacing="0"/>
        <w:ind w:firstLine="560" w:firstLineChars="200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馆区二道门外遮阳棚项目,位于陕西省临潼区,秦始皇兵马俑博物馆馆区二道门外,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建筑面积:510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㎡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hint="eastAsia" w:ascii="仿宋" w:hAnsi="仿宋" w:eastAsia="仿宋" w:cs="宋体"/>
          <w:sz w:val="28"/>
          <w:szCs w:val="28"/>
        </w:rPr>
        <w:t>主</w:t>
      </w:r>
      <w:bookmarkStart w:id="0" w:name="_GoBack"/>
      <w:bookmarkEnd w:id="0"/>
      <w:r>
        <w:rPr>
          <w:rFonts w:hint="eastAsia" w:ascii="仿宋" w:hAnsi="仿宋" w:eastAsia="仿宋" w:cs="宋体"/>
          <w:sz w:val="28"/>
          <w:szCs w:val="28"/>
        </w:rPr>
        <w:t>要功能为遮阳棚，包括</w:t>
      </w:r>
      <w:r>
        <w:rPr>
          <w:rFonts w:hint="eastAsia" w:ascii="仿宋" w:hAnsi="仿宋" w:eastAsia="仿宋"/>
          <w:sz w:val="28"/>
          <w:szCs w:val="28"/>
        </w:rPr>
        <w:t>建筑、结构、给排水、暖通、电气专业的配套内容,含室内、外装修</w:t>
      </w:r>
      <w:r>
        <w:rPr>
          <w:rFonts w:hint="eastAsia" w:ascii="仿宋" w:hAnsi="仿宋" w:eastAsia="仿宋" w:cs="宋体"/>
          <w:sz w:val="28"/>
          <w:szCs w:val="28"/>
        </w:rPr>
        <w:t>工程等，具体内容详见设计图纸及清单。</w:t>
      </w:r>
    </w:p>
    <w:p w14:paraId="6DE22C01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编制范围：</w:t>
      </w:r>
    </w:p>
    <w:p w14:paraId="05CC24F0">
      <w:pPr>
        <w:pStyle w:val="13"/>
        <w:adjustRightInd w:val="0"/>
        <w:snapToGrid w:val="0"/>
        <w:spacing w:line="360" w:lineRule="auto"/>
        <w:ind w:left="63" w:leftChars="30" w:right="-61" w:rightChars="-29" w:firstLine="56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1、由</w:t>
      </w:r>
      <w:r>
        <w:rPr>
          <w:rFonts w:hint="eastAsia" w:ascii="仿宋" w:hAnsi="仿宋" w:eastAsia="仿宋"/>
          <w:sz w:val="28"/>
          <w:szCs w:val="28"/>
        </w:rPr>
        <w:t>中凡国际工程设计有限公司</w:t>
      </w:r>
      <w:r>
        <w:rPr>
          <w:rFonts w:hint="eastAsia" w:ascii="仿宋" w:hAnsi="仿宋" w:eastAsia="仿宋" w:cs="Arial"/>
          <w:sz w:val="28"/>
          <w:szCs w:val="28"/>
        </w:rPr>
        <w:t>设计的该项目施工图纸、变更图纸以及图纸答疑的全部内容</w:t>
      </w:r>
      <w:r>
        <w:rPr>
          <w:rFonts w:hint="eastAsia" w:ascii="仿宋" w:hAnsi="仿宋" w:eastAsia="仿宋" w:cs="宋体"/>
          <w:sz w:val="28"/>
          <w:szCs w:val="28"/>
        </w:rPr>
        <w:t>。</w:t>
      </w:r>
    </w:p>
    <w:p w14:paraId="70312DE1">
      <w:pPr>
        <w:pStyle w:val="13"/>
        <w:numPr>
          <w:ilvl w:val="0"/>
          <w:numId w:val="2"/>
        </w:numPr>
        <w:adjustRightInd w:val="0"/>
        <w:snapToGrid w:val="0"/>
        <w:spacing w:line="360" w:lineRule="auto"/>
        <w:ind w:left="992" w:right="-57" w:rightChars="-27" w:hanging="425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甲方确定的其他相关配套内容。</w:t>
      </w:r>
    </w:p>
    <w:p w14:paraId="309F8FB3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编制依据：</w:t>
      </w:r>
    </w:p>
    <w:p w14:paraId="149B5FA2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1、甲方提供的本工程施工图纸、相关答疑及甲方确定的其他相关配套内容。</w:t>
      </w:r>
    </w:p>
    <w:p w14:paraId="7D6AEC8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2、《陕西省建设工程工程量清单计价标准及计算标准》（2025）、《陕西省建设工程费用规则》（2025）及其配套文件中工程量计算办法。</w:t>
      </w:r>
    </w:p>
    <w:p w14:paraId="09DFCCC8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3、计税方式为一般计税方法。</w:t>
      </w:r>
    </w:p>
    <w:p w14:paraId="7B569502">
      <w:pPr>
        <w:adjustRightInd w:val="0"/>
        <w:snapToGrid w:val="0"/>
        <w:spacing w:line="360" w:lineRule="auto"/>
        <w:ind w:right="-61" w:rightChars="-29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4、正常施工组织和施工方法，各专业间配合施工；</w:t>
      </w:r>
    </w:p>
    <w:p w14:paraId="430B61F6">
      <w:pPr>
        <w:adjustRightInd w:val="0"/>
        <w:snapToGrid w:val="0"/>
        <w:spacing w:line="360" w:lineRule="auto"/>
        <w:ind w:right="-61" w:rightChars="-29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5、施工图中采用的相关标准图集、施工规</w:t>
      </w:r>
      <w:r>
        <w:rPr>
          <w:rFonts w:hint="eastAsia" w:ascii="仿宋" w:hAnsi="仿宋" w:eastAsia="仿宋"/>
          <w:sz w:val="28"/>
          <w:szCs w:val="28"/>
        </w:rPr>
        <w:t>范及验收规范；</w:t>
      </w:r>
    </w:p>
    <w:p w14:paraId="7EB7F80F">
      <w:pPr>
        <w:adjustRightInd w:val="0"/>
        <w:snapToGrid w:val="0"/>
        <w:ind w:right="-61" w:rightChars="-29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6、建设单位提供的施工图纸及相关标准图集、图纸答疑文件等；</w:t>
      </w:r>
    </w:p>
    <w:p w14:paraId="4538E03E">
      <w:pPr>
        <w:pStyle w:val="13"/>
        <w:numPr>
          <w:numId w:val="0"/>
        </w:numPr>
        <w:tabs>
          <w:tab w:val="left" w:pos="600"/>
        </w:tabs>
        <w:ind w:left="566" w:leftChars="0"/>
        <w:rPr>
          <w:rFonts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  <w:lang w:val="en-US" w:eastAsia="zh-CN"/>
        </w:rPr>
        <w:t>7、</w:t>
      </w: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>建设单位根据工程特殊特点要求的建设标准及施工内容。</w:t>
      </w:r>
    </w:p>
    <w:p w14:paraId="33487512">
      <w:pPr>
        <w:adjustRightInd w:val="0"/>
        <w:snapToGrid w:val="0"/>
        <w:spacing w:line="360" w:lineRule="auto"/>
        <w:ind w:left="562" w:right="-61" w:rightChars="-29"/>
        <w:rPr>
          <w:rFonts w:ascii="仿宋" w:hAnsi="仿宋" w:eastAsia="仿宋" w:cs="Arial"/>
          <w:b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四、其他说明：</w:t>
      </w:r>
    </w:p>
    <w:p w14:paraId="438BBE17">
      <w:pPr>
        <w:adjustRightInd w:val="0"/>
        <w:snapToGrid w:val="0"/>
        <w:spacing w:line="360" w:lineRule="auto"/>
        <w:ind w:right="-61" w:rightChars="-29"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 w:cs="Arial"/>
          <w:sz w:val="28"/>
          <w:szCs w:val="28"/>
        </w:rPr>
        <w:t>1、本工程工程量清单所提供项目特征描述仅表达了主要工程做法，详细做法、参数等应依据设计图纸、相关图集；</w:t>
      </w:r>
    </w:p>
    <w:p w14:paraId="395D53E4"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2、本工程实施过程中与原有地下水电管线、设施有冲突和矛盾时，以及编制阶段不可预见的费用在预留金中考虑。</w:t>
      </w:r>
    </w:p>
    <w:p w14:paraId="58D054F5"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3、DN20给水管在绿化区域内的不做管道基础，素土回填。</w:t>
      </w:r>
    </w:p>
    <w:p w14:paraId="1BA690DB">
      <w:pPr>
        <w:ind w:firstLine="560" w:firstLineChars="200"/>
        <w:rPr>
          <w:rFonts w:hint="eastAsia"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4、所使用砂浆按干混预拌砂浆、混凝土按预拌混凝土。</w:t>
      </w:r>
    </w:p>
    <w:p w14:paraId="11C38B9B">
      <w:pPr>
        <w:ind w:firstLine="560" w:firstLineChars="200"/>
        <w:rPr>
          <w:rFonts w:hint="eastAsia"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 xml:space="preserve">5、设备参数不全面以及影响工程质量重要设备、主材按暂定价考虑。造雾机成套设备（含设备基础），暂定价为20000元/套；散水地面50mm厚石材暂定价为450元/m2； </w:t>
      </w:r>
    </w:p>
    <w:p w14:paraId="5D5790A3">
      <w:pPr>
        <w:ind w:firstLine="560" w:firstLineChars="200"/>
        <w:rPr>
          <w:rFonts w:hint="eastAsia"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6、导视标牌暂定综合单价20000元/项；</w:t>
      </w:r>
    </w:p>
    <w:p w14:paraId="492FBA5F"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7、为保证游客通行，基坑开挖不外放采用支护方式，每个基坑支护暂定综合单价9000元，具体方案需安全、合理，以甲方确认的施工方案为准。</w:t>
      </w:r>
    </w:p>
    <w:p w14:paraId="399E6E40">
      <w:pPr>
        <w:spacing w:line="640" w:lineRule="exact"/>
        <w:ind w:left="567" w:leftChars="27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8、本</w:t>
      </w:r>
      <w:r>
        <w:rPr>
          <w:rFonts w:hint="eastAsia" w:ascii="仿宋_GB2312" w:hAnsi="仿宋" w:eastAsia="仿宋_GB2312"/>
          <w:sz w:val="28"/>
          <w:szCs w:val="28"/>
        </w:rPr>
        <w:t>工程计价软件采用广联达版本号为云计价平台GCCP7.0（7.5000.23.2）；</w:t>
      </w:r>
    </w:p>
    <w:p w14:paraId="1ED652BE">
      <w:pPr>
        <w:tabs>
          <w:tab w:val="left" w:pos="600"/>
        </w:tabs>
        <w:spacing w:line="640" w:lineRule="exact"/>
        <w:rPr>
          <w:rFonts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 xml:space="preserve">   </w:t>
      </w:r>
    </w:p>
    <w:p w14:paraId="6790E284">
      <w:pPr>
        <w:widowControl/>
        <w:tabs>
          <w:tab w:val="left" w:pos="600"/>
        </w:tabs>
        <w:spacing w:line="640" w:lineRule="exact"/>
        <w:ind w:firstLine="560" w:firstLineChars="200"/>
        <w:jc w:val="left"/>
        <w:rPr>
          <w:rFonts w:ascii="仿宋" w:hAnsi="仿宋" w:eastAsia="仿宋" w:cs="黑体"/>
          <w:bCs/>
          <w:kern w:val="0"/>
          <w:sz w:val="28"/>
          <w:szCs w:val="28"/>
        </w:rPr>
      </w:pPr>
    </w:p>
    <w:p w14:paraId="3EFC3408">
      <w:pPr>
        <w:widowControl/>
        <w:tabs>
          <w:tab w:val="left" w:pos="600"/>
        </w:tabs>
        <w:spacing w:line="640" w:lineRule="exact"/>
        <w:ind w:firstLine="600" w:firstLineChars="200"/>
        <w:jc w:val="left"/>
        <w:rPr>
          <w:rFonts w:ascii="仿宋" w:hAnsi="仿宋" w:eastAsia="仿宋" w:cs="黑体"/>
          <w:bCs/>
          <w:kern w:val="0"/>
          <w:sz w:val="30"/>
          <w:szCs w:val="30"/>
        </w:rPr>
      </w:pPr>
    </w:p>
    <w:p w14:paraId="7D5B205C">
      <w:pPr>
        <w:widowControl/>
        <w:tabs>
          <w:tab w:val="left" w:pos="600"/>
        </w:tabs>
        <w:spacing w:line="640" w:lineRule="exact"/>
        <w:ind w:firstLine="3000" w:firstLineChars="1000"/>
        <w:jc w:val="left"/>
        <w:rPr>
          <w:rFonts w:ascii="仿宋" w:hAnsi="仿宋" w:eastAsia="仿宋" w:cs="Times New Roman"/>
          <w:color w:val="000000"/>
          <w:spacing w:val="6"/>
          <w:kern w:val="0"/>
          <w:sz w:val="30"/>
          <w:szCs w:val="30"/>
        </w:rPr>
      </w:pPr>
      <w:r>
        <w:rPr>
          <w:rFonts w:hint="eastAsia" w:ascii="仿宋" w:hAnsi="仿宋" w:eastAsia="仿宋" w:cs="黑体"/>
          <w:bCs/>
          <w:kern w:val="0"/>
          <w:sz w:val="30"/>
          <w:szCs w:val="30"/>
        </w:rPr>
        <w:t>陕西万隆金剑工程管理咨询有限公司</w:t>
      </w:r>
    </w:p>
    <w:p w14:paraId="10A7B163">
      <w:pPr>
        <w:widowControl/>
        <w:jc w:val="left"/>
        <w:rPr>
          <w:rFonts w:ascii="仿宋" w:hAnsi="仿宋" w:eastAsia="仿宋" w:cs="Times New Roman"/>
          <w:color w:val="000000"/>
          <w:spacing w:val="6"/>
          <w:kern w:val="0"/>
          <w:sz w:val="30"/>
          <w:szCs w:val="30"/>
        </w:rPr>
      </w:pP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 xml:space="preserve">                                     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</w:rPr>
        <w:t>2026年4月8日</w:t>
      </w:r>
    </w:p>
    <w:p w14:paraId="3D67D568">
      <w:pPr>
        <w:pStyle w:val="11"/>
        <w:ind w:left="420" w:leftChars="200"/>
        <w:rPr>
          <w:rFonts w:ascii="仿宋" w:hAnsi="仿宋" w:eastAsia="仿宋" w:cs="宋体"/>
          <w:sz w:val="28"/>
          <w:szCs w:val="28"/>
        </w:rPr>
      </w:pPr>
    </w:p>
    <w:p w14:paraId="00835153">
      <w:pPr>
        <w:pStyle w:val="11"/>
        <w:ind w:left="420" w:leftChars="200"/>
        <w:rPr>
          <w:rFonts w:ascii="仿宋" w:hAnsi="仿宋" w:eastAsia="仿宋" w:cs="宋体"/>
          <w:sz w:val="28"/>
          <w:szCs w:val="28"/>
        </w:rPr>
      </w:pPr>
    </w:p>
    <w:p w14:paraId="3307C7A9">
      <w:pPr>
        <w:pStyle w:val="5"/>
        <w:widowControl/>
        <w:spacing w:beforeAutospacing="0" w:afterAutospacing="0"/>
        <w:rPr>
          <w:rFonts w:ascii="仿宋" w:hAnsi="仿宋" w:eastAsia="仿宋"/>
        </w:rPr>
      </w:pPr>
    </w:p>
    <w:p w14:paraId="5923C5DC">
      <w:pPr>
        <w:pStyle w:val="5"/>
        <w:widowControl/>
        <w:spacing w:beforeAutospacing="0" w:afterAutospacing="0"/>
        <w:ind w:firstLine="480" w:firstLineChars="200"/>
        <w:rPr>
          <w:rFonts w:ascii="仿宋" w:hAnsi="仿宋" w:eastAsia="仿宋"/>
        </w:rPr>
      </w:pPr>
    </w:p>
    <w:p w14:paraId="5F2C2EF0">
      <w:pPr>
        <w:pStyle w:val="5"/>
        <w:widowControl/>
        <w:spacing w:beforeAutospacing="0" w:afterAutospacing="0"/>
        <w:rPr>
          <w:rFonts w:ascii="仿宋" w:hAnsi="仿宋" w:eastAsia="仿宋"/>
        </w:rPr>
      </w:pPr>
    </w:p>
    <w:p w14:paraId="049F5C05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2C72C2"/>
    <w:multiLevelType w:val="multilevel"/>
    <w:tmpl w:val="3A2C72C2"/>
    <w:lvl w:ilvl="0" w:tentative="0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2781956"/>
    <w:multiLevelType w:val="singleLevel"/>
    <w:tmpl w:val="7278195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F64E7"/>
    <w:rsid w:val="00004E97"/>
    <w:rsid w:val="00010272"/>
    <w:rsid w:val="00012C5C"/>
    <w:rsid w:val="00015DCE"/>
    <w:rsid w:val="00017EF0"/>
    <w:rsid w:val="00020558"/>
    <w:rsid w:val="00024EE9"/>
    <w:rsid w:val="00035D74"/>
    <w:rsid w:val="00057431"/>
    <w:rsid w:val="00067502"/>
    <w:rsid w:val="00071E5F"/>
    <w:rsid w:val="00072F9C"/>
    <w:rsid w:val="00073684"/>
    <w:rsid w:val="00081631"/>
    <w:rsid w:val="00094CE0"/>
    <w:rsid w:val="000A4407"/>
    <w:rsid w:val="000B6224"/>
    <w:rsid w:val="000C135C"/>
    <w:rsid w:val="000D7CDB"/>
    <w:rsid w:val="000E7F95"/>
    <w:rsid w:val="00100EB7"/>
    <w:rsid w:val="00110BCE"/>
    <w:rsid w:val="00114B92"/>
    <w:rsid w:val="00126892"/>
    <w:rsid w:val="0012743F"/>
    <w:rsid w:val="00143A69"/>
    <w:rsid w:val="00153CD1"/>
    <w:rsid w:val="00153CE2"/>
    <w:rsid w:val="001843D7"/>
    <w:rsid w:val="00184C54"/>
    <w:rsid w:val="00186357"/>
    <w:rsid w:val="001A5C52"/>
    <w:rsid w:val="001B28BD"/>
    <w:rsid w:val="001C639F"/>
    <w:rsid w:val="001E20F2"/>
    <w:rsid w:val="001F45D3"/>
    <w:rsid w:val="0020442E"/>
    <w:rsid w:val="002054A8"/>
    <w:rsid w:val="00216764"/>
    <w:rsid w:val="002347C2"/>
    <w:rsid w:val="00237B5C"/>
    <w:rsid w:val="00241583"/>
    <w:rsid w:val="00253146"/>
    <w:rsid w:val="00255D41"/>
    <w:rsid w:val="00260B6E"/>
    <w:rsid w:val="00266980"/>
    <w:rsid w:val="00272162"/>
    <w:rsid w:val="00280495"/>
    <w:rsid w:val="00291341"/>
    <w:rsid w:val="002D300D"/>
    <w:rsid w:val="002F577F"/>
    <w:rsid w:val="00316E3A"/>
    <w:rsid w:val="003210E3"/>
    <w:rsid w:val="0033291C"/>
    <w:rsid w:val="00333294"/>
    <w:rsid w:val="00333E6C"/>
    <w:rsid w:val="00334699"/>
    <w:rsid w:val="00352AA5"/>
    <w:rsid w:val="003B54CD"/>
    <w:rsid w:val="003C0D50"/>
    <w:rsid w:val="00401EB6"/>
    <w:rsid w:val="00416DEC"/>
    <w:rsid w:val="0042737B"/>
    <w:rsid w:val="00432482"/>
    <w:rsid w:val="00441BB2"/>
    <w:rsid w:val="004460AB"/>
    <w:rsid w:val="00452AC0"/>
    <w:rsid w:val="00452BF8"/>
    <w:rsid w:val="00460DF1"/>
    <w:rsid w:val="00464C06"/>
    <w:rsid w:val="004651DA"/>
    <w:rsid w:val="0046743E"/>
    <w:rsid w:val="00471A36"/>
    <w:rsid w:val="00473367"/>
    <w:rsid w:val="004742B1"/>
    <w:rsid w:val="0048634F"/>
    <w:rsid w:val="004A6469"/>
    <w:rsid w:val="004C0411"/>
    <w:rsid w:val="004C08AF"/>
    <w:rsid w:val="004C7628"/>
    <w:rsid w:val="004D2ABA"/>
    <w:rsid w:val="0050398D"/>
    <w:rsid w:val="00523613"/>
    <w:rsid w:val="0054292B"/>
    <w:rsid w:val="00551011"/>
    <w:rsid w:val="005671A7"/>
    <w:rsid w:val="0057354C"/>
    <w:rsid w:val="005B4035"/>
    <w:rsid w:val="005B48B5"/>
    <w:rsid w:val="005B516F"/>
    <w:rsid w:val="005D439F"/>
    <w:rsid w:val="005E57C1"/>
    <w:rsid w:val="005F2640"/>
    <w:rsid w:val="006350B9"/>
    <w:rsid w:val="00635311"/>
    <w:rsid w:val="00643CE7"/>
    <w:rsid w:val="00667D42"/>
    <w:rsid w:val="00672E30"/>
    <w:rsid w:val="006901D1"/>
    <w:rsid w:val="00694B5C"/>
    <w:rsid w:val="006B42B7"/>
    <w:rsid w:val="006B7D9C"/>
    <w:rsid w:val="006C3BDC"/>
    <w:rsid w:val="006E276D"/>
    <w:rsid w:val="006E54BD"/>
    <w:rsid w:val="006F0DDC"/>
    <w:rsid w:val="007108EE"/>
    <w:rsid w:val="007465BB"/>
    <w:rsid w:val="00756DD9"/>
    <w:rsid w:val="007815AD"/>
    <w:rsid w:val="00783F1D"/>
    <w:rsid w:val="0078487C"/>
    <w:rsid w:val="00790401"/>
    <w:rsid w:val="00790F4A"/>
    <w:rsid w:val="007A21AE"/>
    <w:rsid w:val="007A27B3"/>
    <w:rsid w:val="007A4052"/>
    <w:rsid w:val="007B0DEB"/>
    <w:rsid w:val="007B7AF5"/>
    <w:rsid w:val="007C483A"/>
    <w:rsid w:val="007E185C"/>
    <w:rsid w:val="007E600A"/>
    <w:rsid w:val="007F0F79"/>
    <w:rsid w:val="00804458"/>
    <w:rsid w:val="00813080"/>
    <w:rsid w:val="0082103B"/>
    <w:rsid w:val="00826D75"/>
    <w:rsid w:val="00835ECA"/>
    <w:rsid w:val="00877454"/>
    <w:rsid w:val="008945E1"/>
    <w:rsid w:val="008A0003"/>
    <w:rsid w:val="008A0C31"/>
    <w:rsid w:val="008A7CD8"/>
    <w:rsid w:val="008D137A"/>
    <w:rsid w:val="008D2B0A"/>
    <w:rsid w:val="008E113B"/>
    <w:rsid w:val="009147EE"/>
    <w:rsid w:val="0092552F"/>
    <w:rsid w:val="00961F0A"/>
    <w:rsid w:val="009770C1"/>
    <w:rsid w:val="009B226F"/>
    <w:rsid w:val="009C1220"/>
    <w:rsid w:val="009C2F24"/>
    <w:rsid w:val="009C491B"/>
    <w:rsid w:val="009D0368"/>
    <w:rsid w:val="009D114D"/>
    <w:rsid w:val="009F3F95"/>
    <w:rsid w:val="00A11305"/>
    <w:rsid w:val="00A34570"/>
    <w:rsid w:val="00A509BE"/>
    <w:rsid w:val="00A60AC7"/>
    <w:rsid w:val="00A614C4"/>
    <w:rsid w:val="00A645FE"/>
    <w:rsid w:val="00A64FC4"/>
    <w:rsid w:val="00A80CB7"/>
    <w:rsid w:val="00A85951"/>
    <w:rsid w:val="00A87CFA"/>
    <w:rsid w:val="00A9389E"/>
    <w:rsid w:val="00AA4C6D"/>
    <w:rsid w:val="00AB7416"/>
    <w:rsid w:val="00AE6528"/>
    <w:rsid w:val="00AF73F0"/>
    <w:rsid w:val="00B210CA"/>
    <w:rsid w:val="00B24302"/>
    <w:rsid w:val="00B24358"/>
    <w:rsid w:val="00B505F0"/>
    <w:rsid w:val="00B512ED"/>
    <w:rsid w:val="00B54D2B"/>
    <w:rsid w:val="00B55017"/>
    <w:rsid w:val="00B55A49"/>
    <w:rsid w:val="00B6356B"/>
    <w:rsid w:val="00B7446C"/>
    <w:rsid w:val="00B81B02"/>
    <w:rsid w:val="00B94FFC"/>
    <w:rsid w:val="00B9538C"/>
    <w:rsid w:val="00B95EA7"/>
    <w:rsid w:val="00BB3954"/>
    <w:rsid w:val="00BD7E9F"/>
    <w:rsid w:val="00BE3B0F"/>
    <w:rsid w:val="00BF0B84"/>
    <w:rsid w:val="00BF27C8"/>
    <w:rsid w:val="00C01D1A"/>
    <w:rsid w:val="00C04F6B"/>
    <w:rsid w:val="00C149BF"/>
    <w:rsid w:val="00C24885"/>
    <w:rsid w:val="00C44B69"/>
    <w:rsid w:val="00C91EEB"/>
    <w:rsid w:val="00CB0CE5"/>
    <w:rsid w:val="00CB5E09"/>
    <w:rsid w:val="00CC6AAE"/>
    <w:rsid w:val="00CD7DF7"/>
    <w:rsid w:val="00CF7C45"/>
    <w:rsid w:val="00D10FC0"/>
    <w:rsid w:val="00D12A15"/>
    <w:rsid w:val="00D30323"/>
    <w:rsid w:val="00D31A0B"/>
    <w:rsid w:val="00D37962"/>
    <w:rsid w:val="00D40D39"/>
    <w:rsid w:val="00D53C75"/>
    <w:rsid w:val="00D65743"/>
    <w:rsid w:val="00D779EE"/>
    <w:rsid w:val="00D95D3B"/>
    <w:rsid w:val="00DB55D3"/>
    <w:rsid w:val="00DD1720"/>
    <w:rsid w:val="00DD30ED"/>
    <w:rsid w:val="00DE67A2"/>
    <w:rsid w:val="00E15BC3"/>
    <w:rsid w:val="00E24262"/>
    <w:rsid w:val="00E30F1E"/>
    <w:rsid w:val="00E3147A"/>
    <w:rsid w:val="00E31625"/>
    <w:rsid w:val="00E35033"/>
    <w:rsid w:val="00E55327"/>
    <w:rsid w:val="00E74278"/>
    <w:rsid w:val="00E77381"/>
    <w:rsid w:val="00E801B8"/>
    <w:rsid w:val="00E83091"/>
    <w:rsid w:val="00E97CB5"/>
    <w:rsid w:val="00EA66D6"/>
    <w:rsid w:val="00EB01BE"/>
    <w:rsid w:val="00ED0480"/>
    <w:rsid w:val="00EF2FE1"/>
    <w:rsid w:val="00F127E5"/>
    <w:rsid w:val="00F21636"/>
    <w:rsid w:val="00F400E8"/>
    <w:rsid w:val="00F715C9"/>
    <w:rsid w:val="00F91E79"/>
    <w:rsid w:val="00F94D3A"/>
    <w:rsid w:val="00FA27FB"/>
    <w:rsid w:val="00FA5651"/>
    <w:rsid w:val="00FB4C3F"/>
    <w:rsid w:val="00FC77D1"/>
    <w:rsid w:val="00FE193B"/>
    <w:rsid w:val="486F64E7"/>
    <w:rsid w:val="5C21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47822-9B26-4C5E-9DD1-E81145B5C3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Lenovo.com</Company>
  <Pages>2</Pages>
  <Words>763</Words>
  <Characters>815</Characters>
  <Lines>6</Lines>
  <Paragraphs>1</Paragraphs>
  <TotalTime>40</TotalTime>
  <ScaleCrop>false</ScaleCrop>
  <LinksUpToDate>false</LinksUpToDate>
  <CharactersWithSpaces>857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2026-03-18T02:22:00Z</dcterms:created>
  <dc:creator>郝小霞</dc:creator>
  <cp:lastModifiedBy>陕西华采招标有限公司</cp:lastModifiedBy>
  <dcterms:modified xsi:type="dcterms:W3CDTF">2026-04-14T02:36:02Z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eyJoZGlkIjoiYjZjMDgwYWJjZmNiM2YzZmU4MTk1ZjZmYmY1NWU1OTEiLCJ1c2VySWQiOiI5MzY1NjA0ODAifQ==</vt:lpwstr>
  </property>
  <property fmtid="{D5CDD505-2E9C-101B-9397-08002B2CF9AE}" pid="4" name="ICV">
    <vt:lpwstr>91CB5FB7682B490D931E4C64D03FAB98_12</vt:lpwstr>
  </property>
</Properties>
</file>