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版本号：SXHC2026—05520260414001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馆区二道门外遮阳棚项目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SXHC2026—055</w:t>
      </w:r>
      <w:r>
        <w:br/>
      </w:r>
      <w:r>
        <w:br/>
      </w:r>
      <w:r>
        <w:br/>
      </w:r>
    </w:p>
    <w:p>
      <w:pPr>
        <w:pStyle w:val="null3"/>
        <w:jc w:val="center"/>
        <w:outlineLvl w:val="2"/>
      </w:pPr>
      <w:r>
        <w:rPr>
          <w:rFonts w:ascii="仿宋_GB2312" w:hAnsi="仿宋_GB2312" w:cs="仿宋_GB2312" w:eastAsia="仿宋_GB2312"/>
          <w:sz w:val="28"/>
          <w:b/>
        </w:rPr>
        <w:t>秦始皇帝陵博物院</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秦始皇帝陵博物院</w:t>
      </w:r>
      <w:r>
        <w:rPr>
          <w:rFonts w:ascii="仿宋_GB2312" w:hAnsi="仿宋_GB2312" w:cs="仿宋_GB2312" w:eastAsia="仿宋_GB2312"/>
        </w:rPr>
        <w:t>委托，拟对</w:t>
      </w:r>
      <w:r>
        <w:rPr>
          <w:rFonts w:ascii="仿宋_GB2312" w:hAnsi="仿宋_GB2312" w:cs="仿宋_GB2312" w:eastAsia="仿宋_GB2312"/>
        </w:rPr>
        <w:t>馆区二道门外遮阳棚项目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SXHC2026—055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馆区二道门外遮阳棚项目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本项目位于兵马俑景区第二道检票门门前广场，为主要解决旅游旺季游客绕行排队通过区域的遮阳、降温问题，拟扩建轻型钢结构遮阳棚，建筑面积约510㎡。</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采购包1（馆区二道门外遮阳棚项目）：属于专门面向中小企业采购。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3、企业资质：供应商具备建设行政主管部门颁发的建筑工程施工总承包三级及以上资质，且具备有效的安全生产许可证。</w:t>
      </w:r>
    </w:p>
    <w:p>
      <w:pPr>
        <w:pStyle w:val="null3"/>
      </w:pPr>
      <w:r>
        <w:rPr>
          <w:rFonts w:ascii="仿宋_GB2312" w:hAnsi="仿宋_GB2312" w:cs="仿宋_GB2312" w:eastAsia="仿宋_GB2312"/>
        </w:rPr>
        <w:t>4、拟派项目经理资质和专业要求：证书等级：注册建造师二级及以上执业资格；专业：建筑工程专业；补充说明：具备有效的安全生产考核合格证书, 且在本单位注册，无在建项目（提供承诺书）。</w:t>
      </w:r>
    </w:p>
    <w:p>
      <w:pPr>
        <w:pStyle w:val="null3"/>
      </w:pPr>
      <w:r>
        <w:rPr>
          <w:rFonts w:ascii="仿宋_GB2312" w:hAnsi="仿宋_GB2312" w:cs="仿宋_GB2312" w:eastAsia="仿宋_GB2312"/>
        </w:rPr>
        <w:t>5、基本信息查询：供应商基本信息及项目经理的基本信息在“全国建筑市场监管公共服务平台”可查询且无不良记录（提供网页截图）。</w:t>
      </w:r>
    </w:p>
    <w:p>
      <w:pPr>
        <w:pStyle w:val="null3"/>
      </w:pPr>
      <w:r>
        <w:rPr>
          <w:rFonts w:ascii="仿宋_GB2312" w:hAnsi="仿宋_GB2312" w:cs="仿宋_GB2312" w:eastAsia="仿宋_GB2312"/>
        </w:rPr>
        <w:t>6、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7、履行本合同所必需的设备和专业技术能力：提供具有履行本合同所必需的设备和专业技术能力的书面声明。</w:t>
      </w:r>
    </w:p>
    <w:p>
      <w:pPr>
        <w:pStyle w:val="null3"/>
      </w:pPr>
      <w:r>
        <w:rPr>
          <w:rFonts w:ascii="仿宋_GB2312" w:hAnsi="仿宋_GB2312" w:cs="仿宋_GB2312" w:eastAsia="仿宋_GB2312"/>
        </w:rPr>
        <w:t>8、无重大违法记录书面声明：提供参加政府采购活动前3年内在经营活动中没有重大违法记录的书面声明。</w:t>
      </w:r>
    </w:p>
    <w:p>
      <w:pPr>
        <w:pStyle w:val="null3"/>
      </w:pPr>
      <w:r>
        <w:rPr>
          <w:rFonts w:ascii="仿宋_GB2312" w:hAnsi="仿宋_GB2312" w:cs="仿宋_GB2312" w:eastAsia="仿宋_GB2312"/>
        </w:rPr>
        <w:t>9、信誉要求：供应商未列入“失信被执行人”、“重大税收违法案件当事人名单”和“政府采购严重违法失信行为记录名单”。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秦始皇帝陵博物院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西安市临潼区秦陵街办</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029-81399188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LED筒灯</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混凝土、水泥、排水管、LED筒灯、塑料管</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开户名称：陕西华采招标有限公司</w:t>
            </w:r>
          </w:p>
          <w:p>
            <w:pPr>
              <w:pStyle w:val="null3"/>
            </w:pPr>
            <w:r>
              <w:rPr>
                <w:rFonts w:ascii="仿宋_GB2312" w:hAnsi="仿宋_GB2312" w:cs="仿宋_GB2312" w:eastAsia="仿宋_GB2312"/>
              </w:rPr>
              <w:t>开户银行：交通银行陕西自贸试验区西安锦业路支行</w:t>
            </w:r>
          </w:p>
          <w:p>
            <w:pPr>
              <w:pStyle w:val="null3"/>
            </w:pPr>
            <w:r>
              <w:rPr>
                <w:rFonts w:ascii="仿宋_GB2312" w:hAnsi="仿宋_GB2312" w:cs="仿宋_GB2312" w:eastAsia="仿宋_GB2312"/>
              </w:rPr>
              <w:t>银行账号：611301132018010166661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规定按标准收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秦始皇帝陵博物院</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秦始皇帝陵博物院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秦始皇帝陵博物院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馆区二道门外遮阳棚项目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标的名称：馆区二道门外遮阳棚项目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b/>
              </w:rPr>
              <w:t>一、项目概况</w:t>
            </w:r>
          </w:p>
          <w:p>
            <w:pPr>
              <w:pStyle w:val="null3"/>
              <w:ind w:firstLine="560"/>
            </w:pPr>
            <w:r>
              <w:rPr>
                <w:rFonts w:ascii="仿宋_GB2312" w:hAnsi="仿宋_GB2312" w:cs="仿宋_GB2312" w:eastAsia="仿宋_GB2312"/>
                <w:color w:val="000000"/>
              </w:rPr>
              <w:t>本项目位于兵马俑景区第二道检票门门前广场，为主要解决旅游旺季游客绕行排队通过区域的遮阳、降温问题，拟扩建轻型钢结构遮阳棚，建筑面积约</w:t>
            </w:r>
            <w:r>
              <w:rPr>
                <w:rFonts w:ascii="仿宋_GB2312" w:hAnsi="仿宋_GB2312" w:cs="仿宋_GB2312" w:eastAsia="仿宋_GB2312"/>
                <w:color w:val="000000"/>
              </w:rPr>
              <w:t>510㎡</w:t>
            </w:r>
            <w:r>
              <w:rPr>
                <w:rFonts w:ascii="仿宋_GB2312" w:hAnsi="仿宋_GB2312" w:cs="仿宋_GB2312" w:eastAsia="仿宋_GB2312"/>
                <w:color w:val="000000"/>
              </w:rPr>
              <w:t>。</w:t>
            </w:r>
          </w:p>
          <w:p>
            <w:pPr>
              <w:pStyle w:val="null3"/>
              <w:ind w:firstLine="562"/>
            </w:pPr>
            <w:r>
              <w:rPr>
                <w:rFonts w:ascii="仿宋_GB2312" w:hAnsi="仿宋_GB2312" w:cs="仿宋_GB2312" w:eastAsia="仿宋_GB2312"/>
                <w:b/>
              </w:rPr>
              <w:t>二、商务要求</w:t>
            </w:r>
          </w:p>
          <w:p>
            <w:pPr>
              <w:pStyle w:val="null3"/>
              <w:ind w:firstLine="560"/>
            </w:pPr>
            <w:r>
              <w:rPr>
                <w:rFonts w:ascii="仿宋_GB2312" w:hAnsi="仿宋_GB2312" w:cs="仿宋_GB2312" w:eastAsia="仿宋_GB2312"/>
              </w:rPr>
              <w:t>1、工期：自合同签订之日起70日历天。</w:t>
            </w:r>
          </w:p>
          <w:p>
            <w:pPr>
              <w:pStyle w:val="null3"/>
              <w:ind w:firstLine="560"/>
            </w:pPr>
            <w:r>
              <w:rPr>
                <w:rFonts w:ascii="仿宋_GB2312" w:hAnsi="仿宋_GB2312" w:cs="仿宋_GB2312" w:eastAsia="仿宋_GB2312"/>
              </w:rPr>
              <w:t>2、工程地点：兵马俑景区第二道检票门门前广场，具体以采购人指定地点为准。</w:t>
            </w:r>
          </w:p>
          <w:p>
            <w:pPr>
              <w:pStyle w:val="null3"/>
              <w:ind w:firstLine="560"/>
            </w:pPr>
            <w:r>
              <w:rPr>
                <w:rFonts w:ascii="仿宋_GB2312" w:hAnsi="仿宋_GB2312" w:cs="仿宋_GB2312" w:eastAsia="仿宋_GB2312"/>
              </w:rPr>
              <w:t>3、工程质量标准：达到国家、省市或相关行业规范“合格”标准要求。</w:t>
            </w:r>
          </w:p>
          <w:p>
            <w:pPr>
              <w:pStyle w:val="null3"/>
              <w:ind w:firstLine="560"/>
            </w:pPr>
            <w:r>
              <w:rPr>
                <w:rFonts w:ascii="仿宋_GB2312" w:hAnsi="仿宋_GB2312" w:cs="仿宋_GB2312" w:eastAsia="仿宋_GB2312"/>
              </w:rPr>
              <w:t>4、工程量清单及图纸（详见附件）。</w:t>
            </w:r>
          </w:p>
          <w:p>
            <w:pPr>
              <w:pStyle w:val="null3"/>
              <w:ind w:firstLine="562"/>
            </w:pPr>
            <w:r>
              <w:rPr>
                <w:rFonts w:ascii="仿宋_GB2312" w:hAnsi="仿宋_GB2312" w:cs="仿宋_GB2312" w:eastAsia="仿宋_GB2312"/>
                <w:b/>
              </w:rPr>
              <w:t>三、质量保证、服务要求</w:t>
            </w:r>
          </w:p>
          <w:p>
            <w:pPr>
              <w:pStyle w:val="null3"/>
              <w:ind w:firstLine="560"/>
            </w:pPr>
            <w:r>
              <w:rPr>
                <w:rFonts w:ascii="仿宋_GB2312" w:hAnsi="仿宋_GB2312" w:cs="仿宋_GB2312" w:eastAsia="仿宋_GB2312"/>
              </w:rPr>
              <w:t>1、工程质量应当达到约定的质量标准，质量标准的评定以国家或行业的质量检验评定标准为依据。因成交供应商原因导致工程质量达不到约定的质量标准，成交供应商承担违约责任。</w:t>
            </w:r>
          </w:p>
          <w:p>
            <w:pPr>
              <w:pStyle w:val="null3"/>
              <w:ind w:firstLine="560"/>
            </w:pPr>
            <w:r>
              <w:rPr>
                <w:rFonts w:ascii="仿宋_GB2312" w:hAnsi="仿宋_GB2312" w:cs="仿宋_GB2312" w:eastAsia="仿宋_GB2312"/>
              </w:rPr>
              <w:t>2、成交供应商在质保期内应无偿负责所承包工程的维修和替换等工作。超出质保期收取人工及材料成本费用。</w:t>
            </w:r>
          </w:p>
          <w:p>
            <w:pPr>
              <w:pStyle w:val="null3"/>
              <w:ind w:firstLine="560"/>
            </w:pPr>
            <w:r>
              <w:rPr>
                <w:rFonts w:ascii="仿宋_GB2312" w:hAnsi="仿宋_GB2312" w:cs="仿宋_GB2312" w:eastAsia="仿宋_GB2312"/>
              </w:rPr>
              <w:t>3、服务响应时限：7*24小时服务，提供售后服务电话（应具有：固定电话、移动电话、传真）。</w:t>
            </w:r>
          </w:p>
          <w:p>
            <w:pPr>
              <w:pStyle w:val="null3"/>
              <w:ind w:firstLine="560"/>
            </w:pPr>
            <w:r>
              <w:rPr>
                <w:rFonts w:ascii="仿宋_GB2312" w:hAnsi="仿宋_GB2312" w:cs="仿宋_GB2312" w:eastAsia="仿宋_GB2312"/>
              </w:rPr>
              <w:t>4、维修工作时间不大于24小时，更换工作时间不大于72小时。</w:t>
            </w:r>
          </w:p>
          <w:p>
            <w:pPr>
              <w:pStyle w:val="null3"/>
              <w:ind w:firstLine="562"/>
            </w:pPr>
            <w:r>
              <w:rPr>
                <w:rFonts w:ascii="仿宋_GB2312" w:hAnsi="仿宋_GB2312" w:cs="仿宋_GB2312" w:eastAsia="仿宋_GB2312"/>
                <w:b/>
              </w:rPr>
              <w:t>四、职责要求</w:t>
            </w:r>
          </w:p>
          <w:p>
            <w:pPr>
              <w:pStyle w:val="null3"/>
              <w:ind w:firstLine="560"/>
            </w:pPr>
            <w:r>
              <w:rPr>
                <w:rFonts w:ascii="仿宋_GB2312" w:hAnsi="仿宋_GB2312" w:cs="仿宋_GB2312" w:eastAsia="仿宋_GB2312"/>
              </w:rPr>
              <w:t>1、成交供应商全权负责现场的施工安全、保卫、夜间照明、围栏设施及场内外接口交通疏导，按照施工现场临时用电安全技术规范和现场供用电安全规范组织施工，搞好施工现场管理，如未尽到安全、管理责任，采购人可对该违约行为进行处罚。</w:t>
            </w:r>
          </w:p>
          <w:p>
            <w:pPr>
              <w:pStyle w:val="null3"/>
              <w:ind w:firstLine="560"/>
            </w:pPr>
            <w:r>
              <w:rPr>
                <w:rFonts w:ascii="仿宋_GB2312" w:hAnsi="仿宋_GB2312" w:cs="仿宋_GB2312" w:eastAsia="仿宋_GB2312"/>
              </w:rPr>
              <w:t>2、开工后2日内提交经修改后的施工组织设计和施工总进度计划。</w:t>
            </w:r>
          </w:p>
          <w:p>
            <w:pPr>
              <w:pStyle w:val="null3"/>
              <w:ind w:firstLine="562"/>
            </w:pPr>
            <w:r>
              <w:rPr>
                <w:rFonts w:ascii="仿宋_GB2312" w:hAnsi="仿宋_GB2312" w:cs="仿宋_GB2312" w:eastAsia="仿宋_GB2312"/>
                <w:b/>
              </w:rPr>
              <w:t>五、技术要求</w:t>
            </w:r>
          </w:p>
          <w:p>
            <w:pPr>
              <w:pStyle w:val="null3"/>
              <w:ind w:firstLine="560"/>
            </w:pPr>
            <w:r>
              <w:rPr>
                <w:rFonts w:ascii="仿宋_GB2312" w:hAnsi="仿宋_GB2312" w:cs="仿宋_GB2312" w:eastAsia="仿宋_GB2312"/>
              </w:rPr>
              <w:t>1、成交供应商应根据本工程招标范围及要求规范施工，制定工期计划，确保按期完成施工工作。</w:t>
            </w:r>
          </w:p>
          <w:p>
            <w:pPr>
              <w:pStyle w:val="null3"/>
              <w:ind w:firstLine="560"/>
            </w:pPr>
            <w:r>
              <w:rPr>
                <w:rFonts w:ascii="仿宋_GB2312" w:hAnsi="仿宋_GB2312" w:cs="仿宋_GB2312" w:eastAsia="仿宋_GB2312"/>
              </w:rPr>
              <w:t>2、供应的材料均须达到国家环保、节能有关规范和标准的要求，一切用于本工程的材料、设备必须符合合同规定的品种、规格、质量要求。</w:t>
            </w:r>
          </w:p>
          <w:p>
            <w:pPr>
              <w:pStyle w:val="null3"/>
            </w:pPr>
            <w:r>
              <w:rPr>
                <w:rFonts w:ascii="仿宋_GB2312" w:hAnsi="仿宋_GB2312" w:cs="仿宋_GB2312" w:eastAsia="仿宋_GB2312"/>
                <w:color w:val="000000"/>
              </w:rPr>
              <w:t xml:space="preserve">    3、验收要求：工程施工完成，成交供应商进行自检验收，出现的问题限期整改。自检最终通过后，成交供应商提出最终验收申请，采购人组织相关人员进行最终验收。验收标准：执行国家、省或行业现行的工程建设质量验收标准及规范，须达到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详见技术、服务标准和要求。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详见技术、服务标准和要求。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所属行业为：建筑业（根据《中小企业划型标准规定》（工信部联企业〔2011〕300号），建筑业划分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2）因系统格式设置无法调整，合同付款支付要求以第八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提供具有审计资质单位出具的2024或2025年度经审计的财务报告，成立时间至提交响应文件截止时间不足一年的可提供成立后任意时段的资产负债表），或其开标前六个月内基本开户银行出具的资信证明，或信用担保机构出具的投标担保函（以上三种形式的资料提供任何一种即可）。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在响应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供应商具备建设行政主管部门颁发的建筑工程施工总承包三级及以上资质，且具备有效的安全生产许可证。</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证书等级：注册建造师二级及以上执业资格；专业：建筑工程专业；补充说明：具备有效的安全生产考核合格证书, 且在本单位注册，无在建项目（提供承诺书）。</w:t>
            </w:r>
          </w:p>
        </w:tc>
        <w:tc>
          <w:tcPr>
            <w:tcW w:type="dxa" w:w="1661"/>
          </w:tcPr>
          <w:p>
            <w:pPr>
              <w:pStyle w:val="null3"/>
            </w:pPr>
            <w:r>
              <w:rPr>
                <w:rFonts w:ascii="仿宋_GB2312" w:hAnsi="仿宋_GB2312" w:cs="仿宋_GB2312" w:eastAsia="仿宋_GB2312"/>
              </w:rPr>
              <w:t>拟派项目经理资质和专业要求.docx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基本信息查询</w:t>
            </w:r>
          </w:p>
        </w:tc>
        <w:tc>
          <w:tcPr>
            <w:tcW w:type="dxa" w:w="3322"/>
          </w:tcPr>
          <w:p>
            <w:pPr>
              <w:pStyle w:val="null3"/>
            </w:pPr>
            <w:r>
              <w:rPr>
                <w:rFonts w:ascii="仿宋_GB2312" w:hAnsi="仿宋_GB2312" w:cs="仿宋_GB2312" w:eastAsia="仿宋_GB2312"/>
              </w:rPr>
              <w:t>供应商基本信息及项目经理的基本信息在“全国建筑市场监管公共服务平台”可查询且无不良记录（提供网页截图）。</w:t>
            </w:r>
          </w:p>
        </w:tc>
        <w:tc>
          <w:tcPr>
            <w:tcW w:type="dxa" w:w="1661"/>
          </w:tcPr>
          <w:p>
            <w:pPr>
              <w:pStyle w:val="null3"/>
            </w:pPr>
            <w:r>
              <w:rPr>
                <w:rFonts w:ascii="仿宋_GB2312" w:hAnsi="仿宋_GB2312" w:cs="仿宋_GB2312" w:eastAsia="仿宋_GB2312"/>
              </w:rPr>
              <w:t>基本信息查询.docx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内容至少包括①施工准备（方案概述、改造思路及系统图纸的结构、原理、布局等）；②施工方法及针对本项目的合理化建议；③重点、难点工程分析及解决措施；④影响正常施工外在因素分析及对应预案等。 评审标准：总体施工方案各部分内容全面详细、阐述条理清晰详尽、符合本项目采购需求得16分，每缺一项内容扣4分，评审内容有瑕疵的根据情况扣分，扣完为止。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工程质量及安全生产措施</w:t>
            </w:r>
          </w:p>
        </w:tc>
        <w:tc>
          <w:tcPr>
            <w:tcW w:type="dxa" w:w="2492"/>
          </w:tcPr>
          <w:p>
            <w:pPr>
              <w:pStyle w:val="null3"/>
            </w:pPr>
            <w:r>
              <w:rPr>
                <w:rFonts w:ascii="仿宋_GB2312" w:hAnsi="仿宋_GB2312" w:cs="仿宋_GB2312" w:eastAsia="仿宋_GB2312"/>
              </w:rPr>
              <w:t>内容至少包括①工程质量保障方案及安全生产管理制度；②材料和构配件的质量控制；③安全隐患排查、整改制度；④应急救援机制等。 评审标准：工程质量及安全生产措施各部分内容全面详细、阐述条理清晰详尽、符合本项目采购需求得12分，每缺一项内容扣3分，评审内容有瑕疵的根据情况扣分，扣完为止。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内容至少包括①文明施工及环境保护管理制度；②防尘降噪措施；③节能减排措施；④文明施工及环境保护施工监督检查机制等。 评审标准：文明施工及环境保护措施各部分内容全面详细、阐述条理清晰详尽、符合本项目采购需求得12分，每缺一项内容扣3分，评审内容有瑕疵的根据情况扣分，扣完为止。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内容至少包括①项目组织机构图；②团队人员配置清单及各岗位安排及职责（配备施工员、安全员、资料员、材料员、质量员）；③团队人员管理制度（人员管理，任务分派，团队监督机制等）等。 评审标准：项目组织机构各部分内容全面详细、阐述条理清晰详尽、符合本项目采购需求得6分，每缺一项内容扣2分，评审内容有瑕疵的根据情况扣分，扣完为止。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内容至少包括①进度安排计划（提供横道图或网络图）；②工期目标控制和保证措施；③材料供应措施；④成品、半成品保护监管措施等。 评审标准：施工部署与进度计划各部分内容全面详细、阐述条理清晰详尽、符合本项目采购需求得12分，每缺一项内容扣3分，评审内容有瑕疵的根据情况扣分，扣完为止。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内容至少包括①施工机械配置计划；②施工材料投入计划；③施工机械的维护保养和材料的贮存；④施工机械、材料的监督和检查等。 评审标准：施工机械配置和材料投入计划各部分内容全面详细、阐述条理清晰详尽、符合本项目采购需求得4分，每缺一项内容扣1分，评审内容有瑕疵的根据情况扣分，扣完为止。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设备质量及售后服务方案</w:t>
            </w:r>
          </w:p>
        </w:tc>
        <w:tc>
          <w:tcPr>
            <w:tcW w:type="dxa" w:w="2492"/>
          </w:tcPr>
          <w:p>
            <w:pPr>
              <w:pStyle w:val="null3"/>
            </w:pPr>
            <w:r>
              <w:rPr>
                <w:rFonts w:ascii="仿宋_GB2312" w:hAnsi="仿宋_GB2312" w:cs="仿宋_GB2312" w:eastAsia="仿宋_GB2312"/>
              </w:rPr>
              <w:t>内容至少包括①出现故障的响应时间、解决故障时间、补救措施等；②拟投入售后服务人员的配备情况；③产品的保修时间、保修期内的保修内容与范围等。 评审标准：设备质量及售后服务方案各部分内容全面详细、阐述条理清晰详尽、符合本项目采购需求得3分，每缺一项内容扣1分，评审内容有瑕疵的根据情况扣分，扣完为止。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供应商提供2023年04月01日至今（以合同签订时间为准）的类似项目业绩，每提供一份得1分，满分5分。 注：响应文件中提供合同复印件加盖供应商公章。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满足磋商文件要求且最后报价最低的价格为评审基准价，其价格分为满分。其他供应商的价格分统一按照下列公式计算：最后报价得分=(评审基准价／最后报价)×价格权值×100。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详见附件：拟派项目经理资质和专业要求.docx</w:t>
      </w:r>
    </w:p>
    <w:p>
      <w:pPr>
        <w:pStyle w:val="null3"/>
        <w:ind w:firstLine="960"/>
      </w:pPr>
      <w:r>
        <w:rPr>
          <w:rFonts w:ascii="仿宋_GB2312" w:hAnsi="仿宋_GB2312" w:cs="仿宋_GB2312" w:eastAsia="仿宋_GB2312"/>
        </w:rPr>
        <w:t>详见附件：基本信息查询.docx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详见附件：施工方案响应说明.docx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