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36FCE1">
      <w:pPr>
        <w:jc w:val="right"/>
        <w:rPr>
          <w:rFonts w:hint="eastAsia" w:ascii="宋体" w:hAnsi="宋体" w:eastAsia="宋体" w:cs="宋体"/>
          <w:b/>
          <w:sz w:val="24"/>
          <w:lang w:val="en-US" w:eastAsia="zh-CN"/>
        </w:rPr>
      </w:pPr>
      <w:r>
        <w:rPr>
          <w:rFonts w:hint="eastAsia" w:ascii="宋体" w:hAnsi="宋体" w:eastAsia="宋体" w:cs="宋体"/>
          <w:b/>
          <w:sz w:val="24"/>
          <w:lang w:val="en-US" w:eastAsia="zh-CN"/>
        </w:rPr>
        <w:t>合</w:t>
      </w:r>
      <w:r>
        <w:rPr>
          <w:rFonts w:hint="eastAsia" w:ascii="宋体" w:hAnsi="宋体" w:eastAsia="宋体" w:cs="宋体"/>
          <w:b/>
          <w:sz w:val="24"/>
        </w:rPr>
        <w:t>同编号：</w:t>
      </w:r>
    </w:p>
    <w:p w14:paraId="33480F76">
      <w:pPr>
        <w:kinsoku/>
        <w:overflowPunct/>
        <w:topLinePunct w:val="0"/>
        <w:bidi w:val="0"/>
        <w:spacing w:line="360" w:lineRule="auto"/>
        <w:rPr>
          <w:rFonts w:hint="eastAsia" w:ascii="宋体" w:hAnsi="宋体" w:eastAsia="宋体" w:cs="宋体"/>
          <w:color w:val="auto"/>
          <w:sz w:val="28"/>
          <w:szCs w:val="28"/>
        </w:rPr>
      </w:pPr>
    </w:p>
    <w:p w14:paraId="38F4F43A">
      <w:pPr>
        <w:kinsoku/>
        <w:overflowPunct/>
        <w:topLinePunct w:val="0"/>
        <w:bidi w:val="0"/>
        <w:spacing w:line="360" w:lineRule="auto"/>
        <w:rPr>
          <w:rFonts w:hint="eastAsia" w:ascii="宋体" w:hAnsi="宋体" w:eastAsia="宋体" w:cs="宋体"/>
          <w:color w:val="auto"/>
          <w:sz w:val="28"/>
          <w:szCs w:val="28"/>
        </w:rPr>
      </w:pPr>
    </w:p>
    <w:p w14:paraId="134C4116">
      <w:pPr>
        <w:kinsoku/>
        <w:overflowPunct/>
        <w:topLinePunct w:val="0"/>
        <w:bidi w:val="0"/>
        <w:spacing w:line="360" w:lineRule="auto"/>
        <w:jc w:val="center"/>
        <w:rPr>
          <w:rFonts w:hint="eastAsia" w:ascii="宋体" w:hAnsi="宋体" w:eastAsia="宋体" w:cs="宋体"/>
          <w:color w:val="auto"/>
          <w:sz w:val="28"/>
          <w:szCs w:val="28"/>
        </w:rPr>
      </w:pPr>
    </w:p>
    <w:p w14:paraId="088A8289">
      <w:pPr>
        <w:kinsoku/>
        <w:overflowPunct/>
        <w:topLinePunct w:val="0"/>
        <w:bidi w:val="0"/>
        <w:spacing w:line="360" w:lineRule="auto"/>
        <w:jc w:val="center"/>
        <w:rPr>
          <w:rFonts w:hint="eastAsia" w:ascii="宋体" w:hAnsi="宋体" w:eastAsia="宋体" w:cs="宋体"/>
          <w:b/>
          <w:color w:val="auto"/>
          <w:sz w:val="36"/>
          <w:szCs w:val="36"/>
        </w:rPr>
      </w:pPr>
    </w:p>
    <w:p w14:paraId="763B8668">
      <w:pPr>
        <w:kinsoku/>
        <w:overflowPunct/>
        <w:topLinePunct w:val="0"/>
        <w:bidi w:val="0"/>
        <w:spacing w:line="360" w:lineRule="auto"/>
        <w:jc w:val="center"/>
        <w:rPr>
          <w:rFonts w:hint="eastAsia" w:ascii="宋体" w:hAnsi="宋体" w:eastAsia="宋体" w:cs="宋体"/>
          <w:b/>
          <w:color w:val="auto"/>
          <w:sz w:val="36"/>
        </w:rPr>
      </w:pPr>
      <w:r>
        <w:rPr>
          <w:rFonts w:hint="eastAsia" w:ascii="宋体" w:hAnsi="宋体" w:eastAsia="宋体" w:cs="宋体"/>
          <w:b/>
          <w:color w:val="auto"/>
          <w:sz w:val="44"/>
          <w:szCs w:val="48"/>
          <w:lang w:eastAsia="zh-CN"/>
        </w:rPr>
        <w:t>陕西中医药大学附属医院</w:t>
      </w:r>
      <w:r>
        <w:rPr>
          <w:rFonts w:hint="eastAsia" w:ascii="宋体" w:hAnsi="宋体" w:eastAsia="宋体" w:cs="宋体"/>
          <w:b/>
          <w:color w:val="auto"/>
          <w:sz w:val="44"/>
          <w:szCs w:val="48"/>
          <w:u w:val="single"/>
          <w:lang w:eastAsia="zh-CN"/>
        </w:rPr>
        <w:t>陕西中医药大学附属医院超声医学科超声维保项目</w:t>
      </w:r>
      <w:r>
        <w:rPr>
          <w:rFonts w:hint="eastAsia" w:ascii="宋体" w:hAnsi="宋体" w:eastAsia="宋体" w:cs="宋体"/>
          <w:b/>
          <w:color w:val="auto"/>
          <w:sz w:val="44"/>
          <w:szCs w:val="44"/>
        </w:rPr>
        <w:t>合同</w:t>
      </w:r>
    </w:p>
    <w:p w14:paraId="5630FC92">
      <w:pPr>
        <w:kinsoku/>
        <w:overflowPunct/>
        <w:topLinePunct w:val="0"/>
        <w:bidi w:val="0"/>
        <w:spacing w:line="360" w:lineRule="auto"/>
        <w:jc w:val="center"/>
        <w:rPr>
          <w:rFonts w:hint="eastAsia" w:ascii="宋体" w:hAnsi="宋体" w:eastAsia="宋体" w:cs="宋体"/>
          <w:color w:val="auto"/>
          <w:sz w:val="28"/>
          <w:szCs w:val="28"/>
        </w:rPr>
      </w:pPr>
    </w:p>
    <w:p w14:paraId="56BC384E">
      <w:pPr>
        <w:kinsoku/>
        <w:overflowPunct/>
        <w:topLinePunct w:val="0"/>
        <w:bidi w:val="0"/>
        <w:spacing w:line="360" w:lineRule="auto"/>
        <w:jc w:val="center"/>
        <w:rPr>
          <w:rFonts w:hint="eastAsia" w:ascii="宋体" w:hAnsi="宋体" w:eastAsia="宋体" w:cs="宋体"/>
          <w:color w:val="auto"/>
          <w:sz w:val="28"/>
          <w:szCs w:val="28"/>
        </w:rPr>
      </w:pPr>
    </w:p>
    <w:p w14:paraId="2EB1A2A2">
      <w:pPr>
        <w:kinsoku/>
        <w:overflowPunct/>
        <w:topLinePunct w:val="0"/>
        <w:bidi w:val="0"/>
        <w:spacing w:line="360" w:lineRule="auto"/>
        <w:jc w:val="both"/>
        <w:rPr>
          <w:rFonts w:hint="eastAsia" w:ascii="宋体" w:hAnsi="宋体" w:eastAsia="宋体" w:cs="宋体"/>
          <w:color w:val="auto"/>
          <w:sz w:val="28"/>
          <w:szCs w:val="28"/>
        </w:rPr>
      </w:pPr>
    </w:p>
    <w:p w14:paraId="0967187E">
      <w:pPr>
        <w:kinsoku/>
        <w:overflowPunct/>
        <w:topLinePunct w:val="0"/>
        <w:bidi w:val="0"/>
        <w:spacing w:line="360" w:lineRule="auto"/>
        <w:jc w:val="center"/>
        <w:rPr>
          <w:rFonts w:hint="eastAsia" w:ascii="宋体" w:hAnsi="宋体" w:eastAsia="宋体" w:cs="宋体"/>
          <w:color w:val="auto"/>
          <w:sz w:val="28"/>
          <w:szCs w:val="28"/>
        </w:rPr>
      </w:pPr>
    </w:p>
    <w:p w14:paraId="39E6AF18">
      <w:pPr>
        <w:kinsoku/>
        <w:overflowPunct/>
        <w:topLinePunct w:val="0"/>
        <w:bidi w:val="0"/>
        <w:spacing w:line="360" w:lineRule="auto"/>
        <w:jc w:val="center"/>
        <w:rPr>
          <w:rFonts w:hint="eastAsia" w:ascii="宋体" w:hAnsi="宋体" w:eastAsia="宋体" w:cs="宋体"/>
          <w:color w:val="auto"/>
          <w:sz w:val="28"/>
          <w:szCs w:val="28"/>
        </w:rPr>
      </w:pPr>
    </w:p>
    <w:p w14:paraId="56E6FD4D">
      <w:pPr>
        <w:kinsoku/>
        <w:overflowPunct/>
        <w:topLinePunct w:val="0"/>
        <w:bidi w:val="0"/>
        <w:spacing w:line="360" w:lineRule="auto"/>
        <w:jc w:val="center"/>
        <w:rPr>
          <w:rFonts w:hint="eastAsia" w:ascii="宋体" w:hAnsi="宋体" w:eastAsia="宋体" w:cs="宋体"/>
          <w:color w:val="auto"/>
          <w:sz w:val="28"/>
          <w:szCs w:val="28"/>
        </w:rPr>
      </w:pPr>
    </w:p>
    <w:p w14:paraId="22D981E7">
      <w:pPr>
        <w:kinsoku/>
        <w:overflowPunct/>
        <w:topLinePunct w:val="0"/>
        <w:bidi w:val="0"/>
        <w:spacing w:line="360" w:lineRule="auto"/>
        <w:ind w:firstLine="1950" w:firstLineChars="650"/>
        <w:rPr>
          <w:rFonts w:hint="eastAsia" w:ascii="宋体" w:hAnsi="宋体" w:eastAsia="宋体" w:cs="宋体"/>
          <w:color w:val="auto"/>
          <w:sz w:val="30"/>
          <w:szCs w:val="30"/>
          <w:lang w:eastAsia="zh-CN"/>
        </w:rPr>
      </w:pPr>
      <w:r>
        <w:rPr>
          <w:rFonts w:hint="eastAsia" w:ascii="宋体" w:hAnsi="宋体" w:eastAsia="宋体" w:cs="宋体"/>
          <w:color w:val="auto"/>
          <w:sz w:val="30"/>
          <w:szCs w:val="30"/>
        </w:rPr>
        <w:t>甲  方：</w:t>
      </w:r>
      <w:r>
        <w:rPr>
          <w:rFonts w:hint="eastAsia" w:ascii="宋体" w:hAnsi="宋体" w:eastAsia="宋体" w:cs="宋体"/>
          <w:color w:val="auto"/>
          <w:sz w:val="30"/>
          <w:szCs w:val="30"/>
          <w:lang w:eastAsia="zh-CN"/>
        </w:rPr>
        <w:t>陕西中医药大学附属医院</w:t>
      </w:r>
    </w:p>
    <w:p w14:paraId="755ACFE6">
      <w:pPr>
        <w:kinsoku/>
        <w:overflowPunct/>
        <w:topLinePunct w:val="0"/>
        <w:bidi w:val="0"/>
        <w:spacing w:line="360" w:lineRule="auto"/>
        <w:ind w:firstLine="1950" w:firstLineChars="650"/>
        <w:rPr>
          <w:rFonts w:hint="eastAsia" w:ascii="宋体" w:hAnsi="宋体" w:eastAsia="宋体" w:cs="宋体"/>
          <w:color w:val="auto"/>
          <w:sz w:val="30"/>
          <w:szCs w:val="30"/>
        </w:rPr>
      </w:pPr>
      <w:r>
        <w:rPr>
          <w:rFonts w:hint="eastAsia" w:ascii="宋体" w:hAnsi="宋体" w:eastAsia="宋体" w:cs="宋体"/>
          <w:color w:val="auto"/>
          <w:sz w:val="30"/>
          <w:szCs w:val="30"/>
        </w:rPr>
        <w:t>乙  方：</w:t>
      </w:r>
    </w:p>
    <w:p w14:paraId="72156631">
      <w:pPr>
        <w:kinsoku/>
        <w:overflowPunct/>
        <w:topLinePunct w:val="0"/>
        <w:bidi w:val="0"/>
        <w:spacing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w:t>
      </w:r>
    </w:p>
    <w:p w14:paraId="2CDA127F">
      <w:pPr>
        <w:kinsoku/>
        <w:overflowPunct/>
        <w:topLinePunct w:val="0"/>
        <w:bidi w:val="0"/>
        <w:spacing w:line="360" w:lineRule="auto"/>
        <w:jc w:val="center"/>
        <w:rPr>
          <w:rFonts w:hint="eastAsia" w:ascii="宋体" w:hAnsi="宋体" w:eastAsia="宋体" w:cs="宋体"/>
          <w:color w:val="auto"/>
          <w:sz w:val="30"/>
          <w:szCs w:val="30"/>
        </w:rPr>
      </w:pPr>
    </w:p>
    <w:p w14:paraId="1B7D4E78">
      <w:pPr>
        <w:kinsoku/>
        <w:overflowPunct/>
        <w:topLinePunct w:val="0"/>
        <w:bidi w:val="0"/>
        <w:spacing w:line="360" w:lineRule="auto"/>
        <w:jc w:val="center"/>
        <w:rPr>
          <w:rFonts w:hint="eastAsia" w:ascii="宋体" w:hAnsi="宋体" w:eastAsia="宋体" w:cs="宋体"/>
          <w:color w:val="auto"/>
          <w:sz w:val="30"/>
          <w:szCs w:val="30"/>
        </w:rPr>
      </w:pPr>
    </w:p>
    <w:p w14:paraId="20989F66">
      <w:pPr>
        <w:kinsoku/>
        <w:overflowPunct/>
        <w:topLinePunct w:val="0"/>
        <w:bidi w:val="0"/>
        <w:spacing w:line="360" w:lineRule="auto"/>
        <w:jc w:val="center"/>
        <w:rPr>
          <w:rFonts w:hint="eastAsia" w:ascii="宋体" w:hAnsi="宋体" w:eastAsia="宋体" w:cs="宋体"/>
          <w:color w:val="auto"/>
          <w:sz w:val="30"/>
          <w:szCs w:val="30"/>
        </w:rPr>
      </w:pPr>
    </w:p>
    <w:p w14:paraId="5E9F94FB">
      <w:pPr>
        <w:rPr>
          <w:rFonts w:hint="eastAsia" w:ascii="宋体" w:hAnsi="宋体" w:eastAsia="宋体" w:cs="宋体"/>
          <w:b/>
          <w:sz w:val="32"/>
          <w:szCs w:val="32"/>
        </w:rPr>
      </w:pPr>
      <w:r>
        <w:rPr>
          <w:rFonts w:hint="eastAsia" w:ascii="宋体" w:hAnsi="宋体" w:eastAsia="宋体" w:cs="宋体"/>
          <w:b/>
          <w:sz w:val="32"/>
          <w:szCs w:val="32"/>
        </w:rPr>
        <w:t xml:space="preserve">     </w:t>
      </w:r>
      <w:r>
        <w:rPr>
          <w:rFonts w:hint="eastAsia" w:ascii="宋体" w:hAnsi="宋体" w:eastAsia="宋体" w:cs="宋体"/>
          <w:sz w:val="32"/>
          <w:szCs w:val="32"/>
        </w:rPr>
        <w:t xml:space="preserve">          </w:t>
      </w:r>
    </w:p>
    <w:p w14:paraId="5B9A948D">
      <w:pPr>
        <w:ind w:firstLine="2650" w:firstLineChars="1100"/>
        <w:jc w:val="left"/>
        <w:rPr>
          <w:rFonts w:hint="eastAsia" w:ascii="宋体" w:hAnsi="宋体" w:eastAsia="宋体" w:cs="宋体"/>
          <w:b/>
          <w:lang w:val="en-US" w:eastAsia="zh-CN"/>
        </w:rPr>
      </w:pPr>
      <w:r>
        <w:rPr>
          <w:rFonts w:hint="eastAsia" w:ascii="宋体" w:hAnsi="宋体" w:eastAsia="宋体" w:cs="宋体"/>
          <w:b/>
          <w:sz w:val="24"/>
        </w:rPr>
        <w:t>合同签订地：咸阳</w:t>
      </w:r>
      <w:r>
        <w:rPr>
          <w:rFonts w:hint="eastAsia" w:ascii="宋体" w:hAnsi="宋体" w:eastAsia="宋体" w:cs="宋体"/>
          <w:b/>
          <w:sz w:val="24"/>
          <w:lang w:val="en-US" w:eastAsia="zh-CN"/>
        </w:rPr>
        <w:t>市秦都区</w:t>
      </w:r>
    </w:p>
    <w:p w14:paraId="21AE943F">
      <w:pPr>
        <w:rPr>
          <w:rFonts w:hint="eastAsia" w:ascii="宋体" w:hAnsi="宋体" w:eastAsia="宋体" w:cs="宋体"/>
          <w:sz w:val="28"/>
          <w:szCs w:val="28"/>
        </w:rPr>
      </w:pPr>
      <w:r>
        <w:rPr>
          <w:rFonts w:hint="eastAsia" w:ascii="宋体" w:hAnsi="宋体" w:eastAsia="宋体" w:cs="宋体"/>
          <w:sz w:val="28"/>
          <w:szCs w:val="28"/>
        </w:rPr>
        <w:br w:type="page"/>
      </w:r>
    </w:p>
    <w:p w14:paraId="650EC85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 xml:space="preserve">甲方（需方）：陕西中医药大学附属医院                </w:t>
      </w:r>
    </w:p>
    <w:p w14:paraId="0E43287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乙方（供方）：</w:t>
      </w:r>
    </w:p>
    <w:p w14:paraId="0E6FC295">
      <w:pPr>
        <w:keepNext w:val="0"/>
        <w:keepLines w:val="0"/>
        <w:pageBreakBefore w:val="0"/>
        <w:kinsoku/>
        <w:wordWrap/>
        <w:overflowPunct/>
        <w:topLinePunct w:val="0"/>
        <w:bidi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乙方接受甲方委托,乙方为保证甲方</w:t>
      </w:r>
      <w:r>
        <w:rPr>
          <w:rFonts w:hint="eastAsia" w:ascii="宋体" w:hAnsi="宋体" w:eastAsia="宋体" w:cs="宋体"/>
          <w:sz w:val="28"/>
          <w:szCs w:val="28"/>
          <w:lang w:eastAsia="zh-CN"/>
        </w:rPr>
        <w:t>超声医学科超声维保项目中所包含的</w:t>
      </w:r>
      <w:r>
        <w:rPr>
          <w:rFonts w:hint="eastAsia" w:ascii="宋体" w:hAnsi="宋体" w:eastAsia="宋体" w:cs="宋体"/>
          <w:sz w:val="28"/>
          <w:szCs w:val="28"/>
          <w:lang w:val="en-US" w:eastAsia="zh-CN"/>
        </w:rPr>
        <w:t>相关设备</w:t>
      </w:r>
      <w:r>
        <w:rPr>
          <w:rFonts w:hint="eastAsia" w:ascii="宋体" w:hAnsi="宋体" w:eastAsia="宋体" w:cs="宋体"/>
          <w:sz w:val="28"/>
          <w:szCs w:val="28"/>
        </w:rPr>
        <w:t>的正常使用,对甲方需维修</w:t>
      </w:r>
      <w:r>
        <w:rPr>
          <w:rFonts w:hint="eastAsia" w:ascii="宋体" w:hAnsi="宋体" w:eastAsia="宋体" w:cs="宋体"/>
          <w:sz w:val="28"/>
          <w:szCs w:val="28"/>
          <w:lang w:val="en-US" w:eastAsia="zh-CN"/>
        </w:rPr>
        <w:t>保养</w:t>
      </w:r>
      <w:r>
        <w:rPr>
          <w:rFonts w:hint="eastAsia" w:ascii="宋体" w:hAnsi="宋体" w:eastAsia="宋体" w:cs="宋体"/>
          <w:sz w:val="28"/>
          <w:szCs w:val="28"/>
        </w:rPr>
        <w:t>设备进行维修保养服务,为保护甲乙双方的合法权益,</w:t>
      </w:r>
      <w:r>
        <w:rPr>
          <w:rFonts w:hint="eastAsia" w:ascii="宋体" w:hAnsi="宋体" w:eastAsia="宋体" w:cs="宋体"/>
          <w:sz w:val="28"/>
          <w:szCs w:val="28"/>
          <w:lang w:val="en-US" w:eastAsia="zh-CN"/>
        </w:rPr>
        <w:t>甲乙双方</w:t>
      </w:r>
      <w:r>
        <w:rPr>
          <w:rFonts w:hint="eastAsia" w:ascii="宋体" w:hAnsi="宋体" w:eastAsia="宋体" w:cs="宋体"/>
          <w:sz w:val="28"/>
          <w:szCs w:val="28"/>
        </w:rPr>
        <w:t>根据国家相关法律、法规，签订本合同并信守下列条款，双方共同遵守。</w:t>
      </w:r>
    </w:p>
    <w:p w14:paraId="0FF8DB47">
      <w:pPr>
        <w:keepNext w:val="0"/>
        <w:keepLines w:val="0"/>
        <w:pageBreakBefore w:val="0"/>
        <w:numPr>
          <w:ilvl w:val="0"/>
          <w:numId w:val="1"/>
        </w:numPr>
        <w:kinsoku/>
        <w:wordWrap/>
        <w:overflowPunct/>
        <w:topLinePunct w:val="0"/>
        <w:bidi w:val="0"/>
        <w:spacing w:line="360" w:lineRule="auto"/>
        <w:rPr>
          <w:rFonts w:hint="eastAsia" w:ascii="宋体" w:hAnsi="宋体" w:eastAsia="宋体" w:cs="宋体"/>
          <w:sz w:val="28"/>
          <w:szCs w:val="28"/>
        </w:rPr>
      </w:pPr>
      <w:r>
        <w:rPr>
          <w:rFonts w:hint="eastAsia" w:ascii="宋体" w:hAnsi="宋体" w:eastAsia="宋体" w:cs="宋体"/>
          <w:sz w:val="28"/>
          <w:szCs w:val="28"/>
        </w:rPr>
        <w:t>维</w:t>
      </w:r>
      <w:r>
        <w:rPr>
          <w:rFonts w:hint="eastAsia" w:ascii="宋体" w:hAnsi="宋体" w:eastAsia="宋体" w:cs="宋体"/>
          <w:sz w:val="28"/>
          <w:szCs w:val="28"/>
          <w:lang w:val="en-US" w:eastAsia="zh-CN"/>
        </w:rPr>
        <w:t>保</w:t>
      </w:r>
      <w:r>
        <w:rPr>
          <w:rFonts w:hint="eastAsia" w:ascii="宋体" w:hAnsi="宋体" w:eastAsia="宋体" w:cs="宋体"/>
          <w:sz w:val="28"/>
          <w:szCs w:val="28"/>
        </w:rPr>
        <w:t>费用覆盖范围（更换配件及费用清单）</w:t>
      </w:r>
    </w:p>
    <w:tbl>
      <w:tblPr>
        <w:tblStyle w:val="9"/>
        <w:tblW w:w="84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3"/>
        <w:gridCol w:w="1787"/>
        <w:gridCol w:w="1493"/>
        <w:gridCol w:w="1204"/>
        <w:gridCol w:w="1268"/>
        <w:gridCol w:w="1283"/>
      </w:tblGrid>
      <w:tr w14:paraId="3E511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8" w:hRule="atLeast"/>
          <w:jc w:val="center"/>
        </w:trPr>
        <w:tc>
          <w:tcPr>
            <w:tcW w:w="1423" w:type="dxa"/>
            <w:noWrap w:val="0"/>
            <w:vAlign w:val="center"/>
          </w:tcPr>
          <w:p w14:paraId="6FC75DD2">
            <w:pPr>
              <w:keepNext w:val="0"/>
              <w:keepLines w:val="0"/>
              <w:pageBreakBefore w:val="0"/>
              <w:kinsoku/>
              <w:wordWrap/>
              <w:overflowPunct/>
              <w:topLinePunct w:val="0"/>
              <w:bidi w:val="0"/>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公司名称</w:t>
            </w:r>
          </w:p>
        </w:tc>
        <w:tc>
          <w:tcPr>
            <w:tcW w:w="1787" w:type="dxa"/>
            <w:noWrap w:val="0"/>
            <w:vAlign w:val="center"/>
          </w:tcPr>
          <w:p w14:paraId="24CE1F1B">
            <w:pPr>
              <w:keepNext w:val="0"/>
              <w:keepLines w:val="0"/>
              <w:pageBreakBefore w:val="0"/>
              <w:kinsoku/>
              <w:wordWrap/>
              <w:overflowPunct/>
              <w:topLinePunct w:val="0"/>
              <w:bidi w:val="0"/>
              <w:spacing w:line="360" w:lineRule="auto"/>
              <w:jc w:val="center"/>
              <w:rPr>
                <w:rFonts w:hint="eastAsia" w:ascii="宋体" w:hAnsi="宋体" w:eastAsia="宋体" w:cs="宋体"/>
                <w:b/>
                <w:bCs/>
                <w:sz w:val="24"/>
                <w:szCs w:val="24"/>
                <w:lang w:val="en-US" w:eastAsia="zh-CN"/>
              </w:rPr>
            </w:pPr>
            <w:r>
              <w:rPr>
                <w:rFonts w:hint="eastAsia" w:ascii="宋体" w:hAnsi="宋体" w:eastAsia="宋体" w:cs="宋体"/>
                <w:b/>
                <w:bCs/>
                <w:kern w:val="2"/>
                <w:sz w:val="24"/>
                <w:szCs w:val="24"/>
                <w:lang w:val="en-US" w:eastAsia="zh-CN" w:bidi="ar-SA"/>
              </w:rPr>
              <w:t>名称</w:t>
            </w:r>
          </w:p>
        </w:tc>
        <w:tc>
          <w:tcPr>
            <w:tcW w:w="1493" w:type="dxa"/>
            <w:noWrap w:val="0"/>
            <w:vAlign w:val="center"/>
          </w:tcPr>
          <w:p w14:paraId="0288E569">
            <w:pPr>
              <w:keepNext w:val="0"/>
              <w:keepLines w:val="0"/>
              <w:pageBreakBefore w:val="0"/>
              <w:kinsoku/>
              <w:wordWrap/>
              <w:overflowPunct/>
              <w:topLinePunct w:val="0"/>
              <w:bidi w:val="0"/>
              <w:spacing w:line="360" w:lineRule="auto"/>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品牌</w:t>
            </w:r>
          </w:p>
        </w:tc>
        <w:tc>
          <w:tcPr>
            <w:tcW w:w="1204" w:type="dxa"/>
            <w:noWrap w:val="0"/>
            <w:vAlign w:val="center"/>
          </w:tcPr>
          <w:p w14:paraId="20470AAC">
            <w:pPr>
              <w:keepNext w:val="0"/>
              <w:keepLines w:val="0"/>
              <w:pageBreakBefore w:val="0"/>
              <w:kinsoku/>
              <w:wordWrap/>
              <w:overflowPunct/>
              <w:topLinePunct w:val="0"/>
              <w:bidi w:val="0"/>
              <w:spacing w:line="360" w:lineRule="auto"/>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服务期限</w:t>
            </w:r>
          </w:p>
        </w:tc>
        <w:tc>
          <w:tcPr>
            <w:tcW w:w="1268" w:type="dxa"/>
            <w:noWrap w:val="0"/>
            <w:vAlign w:val="center"/>
          </w:tcPr>
          <w:p w14:paraId="4378B856">
            <w:pPr>
              <w:keepNext w:val="0"/>
              <w:keepLines w:val="0"/>
              <w:pageBreakBefore w:val="0"/>
              <w:kinsoku/>
              <w:wordWrap/>
              <w:overflowPunct/>
              <w:topLinePunct w:val="0"/>
              <w:bidi w:val="0"/>
              <w:spacing w:line="360" w:lineRule="auto"/>
              <w:jc w:val="center"/>
              <w:rPr>
                <w:rFonts w:hint="eastAsia" w:ascii="宋体" w:hAnsi="宋体" w:eastAsia="宋体" w:cs="宋体"/>
                <w:b/>
                <w:bCs/>
                <w:kern w:val="2"/>
                <w:sz w:val="24"/>
                <w:szCs w:val="24"/>
                <w:lang w:val="en-US" w:eastAsia="zh-CN" w:bidi="ar-SA"/>
              </w:rPr>
            </w:pPr>
            <w:r>
              <w:rPr>
                <w:rFonts w:hint="eastAsia" w:ascii="宋体" w:hAnsi="宋体" w:eastAsia="宋体" w:cs="宋体"/>
                <w:b/>
                <w:bCs/>
                <w:sz w:val="24"/>
                <w:szCs w:val="24"/>
                <w:lang w:val="en-US" w:eastAsia="zh-CN"/>
              </w:rPr>
              <w:t>单价（元）</w:t>
            </w:r>
          </w:p>
        </w:tc>
        <w:tc>
          <w:tcPr>
            <w:tcW w:w="1283" w:type="dxa"/>
            <w:noWrap w:val="0"/>
            <w:vAlign w:val="center"/>
          </w:tcPr>
          <w:p w14:paraId="54B4DD63">
            <w:pPr>
              <w:keepNext w:val="0"/>
              <w:keepLines w:val="0"/>
              <w:pageBreakBefore w:val="0"/>
              <w:kinsoku/>
              <w:wordWrap/>
              <w:overflowPunct/>
              <w:topLinePunct w:val="0"/>
              <w:bidi w:val="0"/>
              <w:spacing w:line="360" w:lineRule="auto"/>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合计（元）</w:t>
            </w:r>
          </w:p>
        </w:tc>
      </w:tr>
      <w:tr w14:paraId="28D45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jc w:val="center"/>
        </w:trPr>
        <w:tc>
          <w:tcPr>
            <w:tcW w:w="1423" w:type="dxa"/>
            <w:noWrap w:val="0"/>
            <w:vAlign w:val="center"/>
          </w:tcPr>
          <w:p w14:paraId="6395715C">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8"/>
                <w:szCs w:val="28"/>
                <w:lang w:val="en-US" w:eastAsia="zh-CN"/>
              </w:rPr>
            </w:pPr>
          </w:p>
          <w:p w14:paraId="4BF8B734">
            <w:pPr>
              <w:keepNext w:val="0"/>
              <w:keepLines w:val="0"/>
              <w:pageBreakBefore w:val="0"/>
              <w:kinsoku/>
              <w:wordWrap/>
              <w:overflowPunct/>
              <w:topLinePunct w:val="0"/>
              <w:bidi w:val="0"/>
              <w:spacing w:line="360" w:lineRule="auto"/>
              <w:jc w:val="center"/>
              <w:rPr>
                <w:rFonts w:hint="eastAsia" w:ascii="宋体" w:hAnsi="宋体" w:eastAsia="宋体" w:cs="宋体"/>
                <w:color w:val="auto"/>
                <w:kern w:val="2"/>
                <w:sz w:val="28"/>
                <w:szCs w:val="28"/>
                <w:lang w:val="en-US" w:eastAsia="zh-CN" w:bidi="ar-SA"/>
              </w:rPr>
            </w:pPr>
          </w:p>
        </w:tc>
        <w:tc>
          <w:tcPr>
            <w:tcW w:w="1787" w:type="dxa"/>
            <w:noWrap w:val="0"/>
            <w:vAlign w:val="center"/>
          </w:tcPr>
          <w:p w14:paraId="259CDC38">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center"/>
              <w:textAlignment w:val="center"/>
              <w:rPr>
                <w:rFonts w:hint="eastAsia" w:ascii="宋体" w:hAnsi="宋体" w:eastAsia="宋体" w:cs="宋体"/>
                <w:color w:val="auto"/>
                <w:kern w:val="2"/>
                <w:sz w:val="28"/>
                <w:szCs w:val="28"/>
                <w:lang w:val="en-US" w:eastAsia="zh-CN" w:bidi="ar-SA"/>
              </w:rPr>
            </w:pPr>
          </w:p>
        </w:tc>
        <w:tc>
          <w:tcPr>
            <w:tcW w:w="1493" w:type="dxa"/>
            <w:noWrap w:val="0"/>
            <w:vAlign w:val="center"/>
          </w:tcPr>
          <w:p w14:paraId="28DB1192">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both"/>
              <w:textAlignment w:val="center"/>
              <w:rPr>
                <w:rFonts w:hint="eastAsia" w:ascii="宋体" w:hAnsi="宋体" w:eastAsia="宋体" w:cs="宋体"/>
                <w:i w:val="0"/>
                <w:iCs w:val="0"/>
                <w:color w:val="000000"/>
                <w:kern w:val="2"/>
                <w:sz w:val="28"/>
                <w:szCs w:val="28"/>
                <w:u w:val="none"/>
                <w:lang w:val="en-US" w:eastAsia="zh-CN" w:bidi="ar-SA"/>
              </w:rPr>
            </w:pPr>
          </w:p>
        </w:tc>
        <w:tc>
          <w:tcPr>
            <w:tcW w:w="1204" w:type="dxa"/>
            <w:noWrap w:val="0"/>
            <w:vAlign w:val="center"/>
          </w:tcPr>
          <w:p w14:paraId="5E3432B7">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both"/>
              <w:textAlignment w:val="center"/>
              <w:rPr>
                <w:rFonts w:hint="eastAsia" w:ascii="宋体" w:hAnsi="宋体" w:eastAsia="宋体" w:cs="宋体"/>
                <w:i w:val="0"/>
                <w:iCs w:val="0"/>
                <w:color w:val="000000"/>
                <w:kern w:val="2"/>
                <w:sz w:val="28"/>
                <w:szCs w:val="28"/>
                <w:u w:val="none"/>
                <w:lang w:val="en-US" w:eastAsia="zh-CN" w:bidi="ar-SA"/>
              </w:rPr>
            </w:pPr>
          </w:p>
        </w:tc>
        <w:tc>
          <w:tcPr>
            <w:tcW w:w="1268" w:type="dxa"/>
            <w:noWrap w:val="0"/>
            <w:vAlign w:val="center"/>
          </w:tcPr>
          <w:p w14:paraId="5D16EB17">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i w:val="0"/>
                <w:color w:val="000000"/>
                <w:kern w:val="2"/>
                <w:sz w:val="28"/>
                <w:szCs w:val="28"/>
                <w:u w:val="none"/>
                <w:lang w:val="en-US" w:eastAsia="zh-CN" w:bidi="ar-SA"/>
              </w:rPr>
            </w:pPr>
          </w:p>
        </w:tc>
        <w:tc>
          <w:tcPr>
            <w:tcW w:w="1283" w:type="dxa"/>
            <w:noWrap w:val="0"/>
            <w:vAlign w:val="center"/>
          </w:tcPr>
          <w:p w14:paraId="224415D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2"/>
                <w:sz w:val="28"/>
                <w:szCs w:val="28"/>
                <w:u w:val="none"/>
                <w:lang w:val="en-US" w:eastAsia="zh-CN" w:bidi="ar-SA"/>
              </w:rPr>
            </w:pPr>
            <w:r>
              <w:rPr>
                <w:rFonts w:hint="eastAsia" w:ascii="宋体" w:hAnsi="宋体" w:eastAsia="宋体" w:cs="宋体"/>
                <w:i w:val="0"/>
                <w:color w:val="000000"/>
                <w:kern w:val="2"/>
                <w:sz w:val="28"/>
                <w:szCs w:val="28"/>
                <w:u w:val="none"/>
                <w:lang w:val="en-US" w:eastAsia="zh-CN" w:bidi="ar-SA"/>
              </w:rPr>
              <w:t>（大写：元整）</w:t>
            </w:r>
          </w:p>
        </w:tc>
      </w:tr>
      <w:tr w14:paraId="538E6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8458" w:type="dxa"/>
            <w:gridSpan w:val="6"/>
            <w:noWrap w:val="0"/>
            <w:vAlign w:val="center"/>
          </w:tcPr>
          <w:p w14:paraId="7CD68E2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color w:val="000000"/>
                <w:kern w:val="2"/>
                <w:sz w:val="28"/>
                <w:szCs w:val="28"/>
                <w:u w:val="none"/>
                <w:lang w:val="en-US" w:eastAsia="zh-CN" w:bidi="ar-SA"/>
              </w:rPr>
            </w:pPr>
            <w:r>
              <w:rPr>
                <w:rFonts w:hint="eastAsia" w:ascii="宋体" w:hAnsi="宋体" w:eastAsia="宋体" w:cs="宋体"/>
                <w:i w:val="0"/>
                <w:color w:val="000000"/>
                <w:kern w:val="2"/>
                <w:sz w:val="24"/>
                <w:szCs w:val="24"/>
                <w:u w:val="none"/>
                <w:lang w:val="en-US" w:eastAsia="zh-CN" w:bidi="ar-SA"/>
              </w:rPr>
              <w:t>具体更换配件见附件</w:t>
            </w:r>
          </w:p>
        </w:tc>
      </w:tr>
    </w:tbl>
    <w:p w14:paraId="5399AF3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1.本合同价格为含税价。</w:t>
      </w:r>
    </w:p>
    <w:p w14:paraId="4DF74C23">
      <w:pPr>
        <w:pStyle w:val="15"/>
        <w:keepNext w:val="0"/>
        <w:keepLines w:val="0"/>
        <w:pageBreakBefore w:val="0"/>
        <w:kinsoku/>
        <w:wordWrap/>
        <w:overflowPunct/>
        <w:topLinePunct w:val="0"/>
        <w:bidi w:val="0"/>
        <w:spacing w:line="36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2.乙方的维修/供货范围包括提供货物/配件的出厂合格证、使用说明书等。</w:t>
      </w:r>
    </w:p>
    <w:p w14:paraId="3BC553F4">
      <w:pPr>
        <w:keepNext w:val="0"/>
        <w:keepLines w:val="0"/>
        <w:pageBreakBefore w:val="0"/>
        <w:widowControl w:val="0"/>
        <w:suppressLineNumbers w:val="0"/>
        <w:kinsoku/>
        <w:wordWrap/>
        <w:overflowPunct/>
        <w:topLinePunct w:val="0"/>
        <w:bidi w:val="0"/>
        <w:snapToGrid w:val="0"/>
        <w:spacing w:before="0" w:beforeAutospacing="0" w:after="0" w:afterAutospacing="0" w:line="360" w:lineRule="auto"/>
        <w:ind w:right="0"/>
        <w:jc w:val="both"/>
        <w:rPr>
          <w:rFonts w:hint="eastAsia" w:ascii="宋体" w:hAnsi="宋体" w:eastAsia="宋体" w:cs="宋体"/>
          <w:snapToGrid/>
          <w:color w:val="000000"/>
          <w:kern w:val="0"/>
          <w:sz w:val="28"/>
          <w:szCs w:val="28"/>
          <w:lang w:val="en-US" w:eastAsia="zh-CN" w:bidi="ar-SA"/>
        </w:rPr>
      </w:pPr>
      <w:r>
        <w:rPr>
          <w:rFonts w:hint="eastAsia" w:ascii="宋体" w:hAnsi="宋体" w:eastAsia="宋体" w:cs="宋体"/>
          <w:snapToGrid/>
          <w:color w:val="000000"/>
          <w:kern w:val="0"/>
          <w:sz w:val="28"/>
          <w:szCs w:val="28"/>
          <w:lang w:val="en-US" w:eastAsia="zh-CN" w:bidi="ar-SA"/>
        </w:rPr>
        <w:t>二、服务期限：三年，一年一考核，考核合格续签下一年。次年签订合同时医院保留根据工作需要和服务考核情况调整是否续签合同的权利（合作期限内实行年度考核制度，若年度考核低于 90分，甲方有权解除合同）。</w:t>
      </w:r>
    </w:p>
    <w:p w14:paraId="42C39AEB">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三、运输方式、到达站（港）费用负担、配件更换及其他：</w:t>
      </w:r>
      <w:r>
        <w:rPr>
          <w:rFonts w:hint="eastAsia" w:ascii="宋体" w:hAnsi="宋体" w:eastAsia="宋体" w:cs="宋体"/>
          <w:sz w:val="28"/>
          <w:szCs w:val="28"/>
          <w:lang w:val="en-US" w:eastAsia="zh-CN"/>
        </w:rPr>
        <w:t xml:space="preserve"> </w:t>
      </w:r>
    </w:p>
    <w:p w14:paraId="71A59D9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乙方负责</w:t>
      </w:r>
      <w:r>
        <w:rPr>
          <w:rFonts w:hint="eastAsia" w:ascii="宋体" w:hAnsi="宋体" w:eastAsia="宋体" w:cs="宋体"/>
          <w:sz w:val="28"/>
          <w:szCs w:val="28"/>
          <w:lang w:val="en-US" w:eastAsia="zh-CN"/>
        </w:rPr>
        <w:t>将配件</w:t>
      </w:r>
      <w:r>
        <w:rPr>
          <w:rFonts w:hint="eastAsia" w:ascii="宋体" w:hAnsi="宋体" w:eastAsia="宋体" w:cs="宋体"/>
          <w:sz w:val="28"/>
          <w:szCs w:val="28"/>
        </w:rPr>
        <w:t>送到甲方指定地点，配件发货时间需提前通知甲方，以便甲方准备维修</w:t>
      </w:r>
      <w:r>
        <w:rPr>
          <w:rFonts w:hint="eastAsia" w:ascii="宋体" w:hAnsi="宋体" w:eastAsia="宋体" w:cs="宋体"/>
          <w:sz w:val="28"/>
          <w:szCs w:val="28"/>
          <w:lang w:val="en-US" w:eastAsia="zh-CN"/>
        </w:rPr>
        <w:t>保养</w:t>
      </w:r>
      <w:r>
        <w:rPr>
          <w:rFonts w:hint="eastAsia" w:ascii="宋体" w:hAnsi="宋体" w:eastAsia="宋体" w:cs="宋体"/>
          <w:sz w:val="28"/>
          <w:szCs w:val="28"/>
        </w:rPr>
        <w:t>场地。乙方负责卸货安装调试并承担其费用。</w:t>
      </w:r>
    </w:p>
    <w:p w14:paraId="24E6843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四、验收标准、方法、地点、期限及提出异议期限：</w:t>
      </w:r>
    </w:p>
    <w:p w14:paraId="75D4A05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安装</w:t>
      </w:r>
      <w:r>
        <w:rPr>
          <w:rFonts w:hint="eastAsia" w:ascii="宋体" w:hAnsi="宋体" w:eastAsia="宋体" w:cs="宋体"/>
          <w:sz w:val="28"/>
          <w:szCs w:val="28"/>
          <w:lang w:val="en-US" w:eastAsia="zh-CN"/>
        </w:rPr>
        <w:t>/维保</w:t>
      </w:r>
      <w:r>
        <w:rPr>
          <w:rFonts w:hint="eastAsia" w:ascii="宋体" w:hAnsi="宋体" w:eastAsia="宋体" w:cs="宋体"/>
          <w:sz w:val="28"/>
          <w:szCs w:val="28"/>
        </w:rPr>
        <w:t>调试完毕后，</w:t>
      </w:r>
      <w:r>
        <w:rPr>
          <w:rFonts w:hint="eastAsia" w:ascii="宋体" w:hAnsi="宋体" w:eastAsia="宋体" w:cs="宋体"/>
          <w:sz w:val="28"/>
          <w:szCs w:val="28"/>
          <w:lang w:val="en-US" w:eastAsia="zh-CN"/>
        </w:rPr>
        <w:t>先试运行</w:t>
      </w:r>
      <w:r>
        <w:rPr>
          <w:rFonts w:hint="eastAsia" w:ascii="宋体" w:hAnsi="宋体" w:eastAsia="宋体" w:cs="宋体"/>
          <w:sz w:val="28"/>
          <w:szCs w:val="28"/>
        </w:rPr>
        <w:t>一个月</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之后由乙方书面申请甲方进行验收，甲方按照合同约定或者招投标确定的验收标准</w:t>
      </w:r>
      <w:r>
        <w:rPr>
          <w:rFonts w:hint="eastAsia" w:ascii="宋体" w:hAnsi="宋体" w:eastAsia="宋体" w:cs="宋体"/>
          <w:sz w:val="28"/>
          <w:szCs w:val="28"/>
        </w:rPr>
        <w:t>验收；验收地点在设备维</w:t>
      </w:r>
      <w:r>
        <w:rPr>
          <w:rFonts w:hint="eastAsia" w:ascii="宋体" w:hAnsi="宋体" w:eastAsia="宋体" w:cs="宋体"/>
          <w:sz w:val="28"/>
          <w:szCs w:val="28"/>
          <w:lang w:val="en-US" w:eastAsia="zh-CN"/>
        </w:rPr>
        <w:t>保</w:t>
      </w:r>
      <w:r>
        <w:rPr>
          <w:rFonts w:hint="eastAsia" w:ascii="宋体" w:hAnsi="宋体" w:eastAsia="宋体" w:cs="宋体"/>
          <w:sz w:val="28"/>
          <w:szCs w:val="28"/>
        </w:rPr>
        <w:t>地。</w:t>
      </w:r>
    </w:p>
    <w:p w14:paraId="63BB583E">
      <w:pPr>
        <w:pStyle w:val="15"/>
        <w:keepNext w:val="0"/>
        <w:keepLines w:val="0"/>
        <w:pageBreakBefore w:val="0"/>
        <w:kinsoku/>
        <w:wordWrap/>
        <w:overflowPunct/>
        <w:topLinePunct w:val="0"/>
        <w:bidi w:val="0"/>
        <w:spacing w:line="360" w:lineRule="auto"/>
        <w:ind w:firstLine="480"/>
        <w:rPr>
          <w:rFonts w:hint="eastAsia" w:ascii="宋体" w:hAnsi="宋体" w:eastAsia="宋体" w:cs="宋体"/>
          <w:sz w:val="28"/>
          <w:szCs w:val="28"/>
          <w:u w:val="none"/>
          <w:lang w:val="en-US" w:eastAsia="zh-CN"/>
        </w:rPr>
      </w:pPr>
      <w:r>
        <w:rPr>
          <w:rFonts w:hint="eastAsia" w:ascii="宋体" w:hAnsi="宋体" w:eastAsia="宋体" w:cs="宋体"/>
          <w:sz w:val="28"/>
          <w:szCs w:val="28"/>
          <w:lang w:val="en-US" w:eastAsia="zh-CN"/>
        </w:rPr>
        <w:t>2.经甲方验收不合格的，乙方应在</w:t>
      </w:r>
      <w:r>
        <w:rPr>
          <w:rFonts w:hint="eastAsia" w:ascii="宋体" w:hAnsi="宋体" w:eastAsia="宋体" w:cs="宋体"/>
          <w:sz w:val="28"/>
          <w:szCs w:val="28"/>
          <w:u w:val="none"/>
          <w:lang w:val="en-US" w:eastAsia="zh-CN"/>
        </w:rPr>
        <w:t>7个工作日内重新调试维修保养或者换货。如乙方未在约定期限重新调试维修保养或者换货，或者经乙方重新调试维修保养或者换货，甲方再次验收仍然不合格的，甲方有权解除合同，乙方应向甲方支付合同总价款20%的违约金，违约金不足以弥补甲方损失的，还应继续承担赔偿责任。</w:t>
      </w:r>
    </w:p>
    <w:p w14:paraId="010062E2">
      <w:pPr>
        <w:pStyle w:val="15"/>
        <w:keepNext w:val="0"/>
        <w:keepLines w:val="0"/>
        <w:pageBreakBefore w:val="0"/>
        <w:kinsoku/>
        <w:wordWrap/>
        <w:overflowPunct/>
        <w:topLinePunct w:val="0"/>
        <w:bidi w:val="0"/>
        <w:spacing w:line="360" w:lineRule="auto"/>
        <w:ind w:firstLine="480"/>
        <w:rPr>
          <w:rFonts w:hint="eastAsia" w:ascii="宋体" w:hAnsi="宋体" w:eastAsia="宋体" w:cs="宋体"/>
          <w:sz w:val="28"/>
          <w:szCs w:val="28"/>
          <w:u w:val="single"/>
          <w:lang w:val="en-US" w:eastAsia="zh-CN"/>
        </w:rPr>
      </w:pPr>
      <w:r>
        <w:rPr>
          <w:rFonts w:hint="eastAsia" w:ascii="宋体" w:hAnsi="宋体" w:eastAsia="宋体" w:cs="宋体"/>
          <w:sz w:val="28"/>
          <w:szCs w:val="28"/>
          <w:u w:val="none"/>
          <w:lang w:val="en-US" w:eastAsia="zh-CN"/>
        </w:rPr>
        <w:t>3.如乙方对验收结果有异议的，应在7天内以书面形式提出鉴定申请，若理由充分，甲方可以与乙方共同确定第三方进行鉴定，鉴定费由乙方承担。</w:t>
      </w:r>
    </w:p>
    <w:p w14:paraId="0A78892B">
      <w:pPr>
        <w:keepNext w:val="0"/>
        <w:keepLines w:val="0"/>
        <w:pageBreakBefore w:val="0"/>
        <w:widowControl w:val="0"/>
        <w:tabs>
          <w:tab w:val="center" w:pos="4153"/>
        </w:tabs>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eastAsia="zh-CN"/>
        </w:rPr>
      </w:pPr>
      <w:r>
        <w:rPr>
          <w:rFonts w:hint="eastAsia" w:ascii="宋体" w:hAnsi="宋体" w:eastAsia="宋体" w:cs="宋体"/>
          <w:sz w:val="28"/>
          <w:szCs w:val="28"/>
        </w:rPr>
        <w:t>五、付款方式</w:t>
      </w:r>
      <w:r>
        <w:rPr>
          <w:rFonts w:hint="eastAsia" w:ascii="宋体" w:hAnsi="宋体" w:eastAsia="宋体" w:cs="宋体"/>
          <w:sz w:val="28"/>
          <w:szCs w:val="28"/>
          <w:lang w:eastAsia="zh-CN"/>
        </w:rPr>
        <w:tab/>
      </w:r>
    </w:p>
    <w:p w14:paraId="42F43473">
      <w:pPr>
        <w:pStyle w:val="7"/>
        <w:keepNext w:val="0"/>
        <w:keepLines w:val="0"/>
        <w:pageBreakBefore w:val="0"/>
        <w:widowControl/>
        <w:kinsoku/>
        <w:wordWrap/>
        <w:overflowPunct/>
        <w:topLinePunct w:val="0"/>
        <w:bidi w:val="0"/>
        <w:spacing w:line="360" w:lineRule="auto"/>
        <w:ind w:left="0" w:firstLine="560" w:firstLineChars="200"/>
        <w:jc w:val="both"/>
        <w:rPr>
          <w:rFonts w:hint="eastAsia" w:ascii="宋体" w:hAnsi="宋体" w:eastAsia="宋体" w:cs="宋体"/>
          <w:color w:val="000000"/>
          <w:kern w:val="0"/>
          <w:sz w:val="28"/>
          <w:szCs w:val="28"/>
          <w:lang w:val="en-US" w:eastAsia="zh-CN"/>
        </w:rPr>
      </w:pPr>
      <w:r>
        <w:rPr>
          <w:rFonts w:hint="eastAsia" w:ascii="宋体" w:hAnsi="宋体" w:eastAsia="宋体" w:cs="宋体"/>
          <w:kern w:val="2"/>
          <w:sz w:val="28"/>
          <w:szCs w:val="28"/>
        </w:rPr>
        <w:t>1.第一期合同款:合同签订后</w:t>
      </w:r>
      <w:r>
        <w:rPr>
          <w:rFonts w:hint="eastAsia" w:ascii="宋体" w:hAnsi="宋体" w:eastAsia="宋体" w:cs="宋体"/>
          <w:color w:val="000000"/>
          <w:kern w:val="2"/>
          <w:sz w:val="28"/>
          <w:szCs w:val="28"/>
        </w:rPr>
        <w:t>甲方收到乙方发票</w:t>
      </w:r>
      <w:r>
        <w:rPr>
          <w:rFonts w:hint="eastAsia" w:ascii="宋体" w:hAnsi="宋体" w:eastAsia="宋体" w:cs="宋体"/>
          <w:kern w:val="2"/>
          <w:sz w:val="28"/>
          <w:szCs w:val="28"/>
        </w:rPr>
        <w:t>6个月</w:t>
      </w:r>
      <w:r>
        <w:rPr>
          <w:rFonts w:hint="eastAsia" w:ascii="宋体" w:hAnsi="宋体" w:eastAsia="宋体" w:cs="宋体"/>
          <w:kern w:val="2"/>
          <w:sz w:val="28"/>
          <w:szCs w:val="28"/>
          <w:lang w:val="en-US" w:eastAsia="zh-CN"/>
        </w:rPr>
        <w:t>后向乙方</w:t>
      </w:r>
      <w:r>
        <w:rPr>
          <w:rFonts w:hint="eastAsia" w:ascii="宋体" w:hAnsi="宋体" w:eastAsia="宋体" w:cs="宋体"/>
          <w:kern w:val="2"/>
          <w:sz w:val="28"/>
          <w:szCs w:val="28"/>
        </w:rPr>
        <w:t>支付人民币</w:t>
      </w:r>
      <w:r>
        <w:rPr>
          <w:rFonts w:hint="eastAsia" w:ascii="宋体" w:hAnsi="宋体" w:eastAsia="宋体" w:cs="宋体"/>
          <w:kern w:val="2"/>
          <w:sz w:val="28"/>
          <w:szCs w:val="28"/>
          <w:lang w:val="en-US" w:eastAsia="zh-CN"/>
        </w:rPr>
        <w:t xml:space="preserve">    </w:t>
      </w:r>
      <w:r>
        <w:rPr>
          <w:rFonts w:hint="eastAsia" w:ascii="宋体" w:hAnsi="宋体" w:eastAsia="宋体" w:cs="宋体"/>
          <w:kern w:val="2"/>
          <w:sz w:val="28"/>
          <w:szCs w:val="28"/>
        </w:rPr>
        <w:t>元（大写：</w:t>
      </w:r>
      <w:r>
        <w:rPr>
          <w:rFonts w:hint="eastAsia" w:ascii="宋体" w:hAnsi="宋体" w:eastAsia="宋体" w:cs="宋体"/>
          <w:kern w:val="2"/>
          <w:sz w:val="28"/>
          <w:szCs w:val="28"/>
          <w:lang w:val="en-US" w:eastAsia="zh-CN"/>
        </w:rPr>
        <w:t xml:space="preserve">    元</w:t>
      </w:r>
      <w:r>
        <w:rPr>
          <w:rFonts w:hint="eastAsia" w:ascii="宋体" w:hAnsi="宋体" w:eastAsia="宋体" w:cs="宋体"/>
          <w:kern w:val="2"/>
          <w:sz w:val="28"/>
          <w:szCs w:val="28"/>
        </w:rPr>
        <w:t>整）；</w:t>
      </w:r>
      <w:r>
        <w:rPr>
          <w:rFonts w:hint="eastAsia" w:ascii="宋体" w:hAnsi="宋体" w:eastAsia="宋体" w:cs="宋体"/>
          <w:kern w:val="2"/>
          <w:sz w:val="28"/>
          <w:szCs w:val="28"/>
          <w:lang w:val="en-US" w:eastAsia="zh-CN"/>
        </w:rPr>
        <w:t>并在第一年维保期结束且考核合格后向乙方</w:t>
      </w:r>
      <w:r>
        <w:rPr>
          <w:rFonts w:hint="eastAsia" w:ascii="宋体" w:hAnsi="宋体" w:eastAsia="宋体" w:cs="宋体"/>
          <w:kern w:val="2"/>
          <w:sz w:val="28"/>
          <w:szCs w:val="28"/>
        </w:rPr>
        <w:t>支付人民币</w:t>
      </w:r>
      <w:r>
        <w:rPr>
          <w:rFonts w:hint="eastAsia" w:ascii="宋体" w:hAnsi="宋体" w:eastAsia="宋体" w:cs="宋体"/>
          <w:kern w:val="2"/>
          <w:sz w:val="28"/>
          <w:szCs w:val="28"/>
          <w:lang w:val="en-US" w:eastAsia="zh-CN"/>
        </w:rPr>
        <w:t xml:space="preserve">   </w:t>
      </w:r>
      <w:r>
        <w:rPr>
          <w:rFonts w:hint="eastAsia" w:ascii="宋体" w:hAnsi="宋体" w:eastAsia="宋体" w:cs="宋体"/>
          <w:kern w:val="2"/>
          <w:sz w:val="28"/>
          <w:szCs w:val="28"/>
        </w:rPr>
        <w:t>元（大写：</w:t>
      </w:r>
      <w:r>
        <w:rPr>
          <w:rFonts w:hint="eastAsia" w:ascii="宋体" w:hAnsi="宋体" w:eastAsia="宋体" w:cs="宋体"/>
          <w:kern w:val="2"/>
          <w:sz w:val="28"/>
          <w:szCs w:val="28"/>
          <w:lang w:val="en-US" w:eastAsia="zh-CN"/>
        </w:rPr>
        <w:t xml:space="preserve">   </w:t>
      </w:r>
      <w:r>
        <w:rPr>
          <w:rFonts w:hint="eastAsia" w:ascii="宋体" w:hAnsi="宋体" w:eastAsia="宋体" w:cs="宋体"/>
          <w:kern w:val="2"/>
          <w:sz w:val="28"/>
          <w:szCs w:val="28"/>
        </w:rPr>
        <w:t>整）</w:t>
      </w:r>
      <w:r>
        <w:rPr>
          <w:rFonts w:hint="eastAsia" w:ascii="宋体" w:hAnsi="宋体" w:eastAsia="宋体" w:cs="宋体"/>
          <w:kern w:val="2"/>
          <w:sz w:val="28"/>
          <w:szCs w:val="28"/>
          <w:lang w:eastAsia="zh-CN"/>
        </w:rPr>
        <w:t>。</w:t>
      </w:r>
    </w:p>
    <w:p w14:paraId="619BC6B7">
      <w:pPr>
        <w:pStyle w:val="7"/>
        <w:keepNext w:val="0"/>
        <w:keepLines w:val="0"/>
        <w:pageBreakBefore w:val="0"/>
        <w:widowControl/>
        <w:kinsoku/>
        <w:wordWrap/>
        <w:overflowPunct/>
        <w:topLinePunct w:val="0"/>
        <w:bidi w:val="0"/>
        <w:spacing w:line="360" w:lineRule="auto"/>
        <w:ind w:left="559" w:leftChars="266" w:firstLine="0" w:firstLineChars="0"/>
        <w:jc w:val="both"/>
        <w:rPr>
          <w:rFonts w:hint="eastAsia" w:ascii="宋体" w:hAnsi="宋体" w:eastAsia="宋体" w:cs="宋体"/>
          <w:kern w:val="2"/>
          <w:sz w:val="28"/>
          <w:szCs w:val="28"/>
        </w:rPr>
      </w:pPr>
      <w:r>
        <w:rPr>
          <w:rFonts w:hint="eastAsia" w:ascii="宋体" w:hAnsi="宋体" w:eastAsia="宋体" w:cs="宋体"/>
          <w:kern w:val="2"/>
          <w:sz w:val="28"/>
          <w:szCs w:val="28"/>
          <w:lang w:val="en-US" w:eastAsia="zh-CN"/>
        </w:rPr>
        <w:t>2.</w:t>
      </w:r>
      <w:r>
        <w:rPr>
          <w:rFonts w:hint="eastAsia" w:ascii="宋体" w:hAnsi="宋体" w:eastAsia="宋体" w:cs="宋体"/>
          <w:kern w:val="2"/>
          <w:sz w:val="28"/>
          <w:szCs w:val="28"/>
        </w:rPr>
        <w:t>第二期合同款:</w:t>
      </w:r>
      <w:r>
        <w:rPr>
          <w:rFonts w:hint="eastAsia" w:ascii="宋体" w:hAnsi="宋体" w:eastAsia="宋体" w:cs="宋体"/>
          <w:kern w:val="2"/>
          <w:sz w:val="28"/>
          <w:szCs w:val="28"/>
          <w:lang w:val="en-US" w:eastAsia="zh-CN"/>
        </w:rPr>
        <w:t>第二年维保开始6个月后向乙方支付</w:t>
      </w:r>
      <w:r>
        <w:rPr>
          <w:rFonts w:hint="eastAsia" w:ascii="宋体" w:hAnsi="宋体" w:eastAsia="宋体" w:cs="宋体"/>
          <w:kern w:val="2"/>
          <w:sz w:val="28"/>
          <w:szCs w:val="28"/>
        </w:rPr>
        <w:t>人民币</w:t>
      </w:r>
      <w:r>
        <w:rPr>
          <w:rFonts w:hint="eastAsia" w:ascii="宋体" w:hAnsi="宋体" w:eastAsia="宋体" w:cs="宋体"/>
          <w:kern w:val="2"/>
          <w:sz w:val="28"/>
          <w:szCs w:val="28"/>
          <w:lang w:val="en-US" w:eastAsia="zh-CN"/>
        </w:rPr>
        <w:t xml:space="preserve"> </w:t>
      </w:r>
      <w:r>
        <w:rPr>
          <w:rFonts w:hint="eastAsia" w:ascii="宋体" w:hAnsi="宋体" w:eastAsia="宋体" w:cs="宋体"/>
          <w:kern w:val="2"/>
          <w:sz w:val="28"/>
          <w:szCs w:val="28"/>
        </w:rPr>
        <w:t>元（大写：</w:t>
      </w:r>
      <w:r>
        <w:rPr>
          <w:rFonts w:hint="eastAsia" w:ascii="宋体" w:hAnsi="宋体" w:eastAsia="宋体" w:cs="宋体"/>
          <w:kern w:val="2"/>
          <w:sz w:val="28"/>
          <w:szCs w:val="28"/>
          <w:lang w:val="en-US" w:eastAsia="zh-CN"/>
        </w:rPr>
        <w:t xml:space="preserve">   元</w:t>
      </w:r>
      <w:r>
        <w:rPr>
          <w:rFonts w:hint="eastAsia" w:ascii="宋体" w:hAnsi="宋体" w:eastAsia="宋体" w:cs="宋体"/>
          <w:kern w:val="2"/>
          <w:sz w:val="28"/>
          <w:szCs w:val="28"/>
        </w:rPr>
        <w:t>整）；</w:t>
      </w:r>
      <w:r>
        <w:rPr>
          <w:rFonts w:hint="eastAsia" w:ascii="宋体" w:hAnsi="宋体" w:eastAsia="宋体" w:cs="宋体"/>
          <w:kern w:val="2"/>
          <w:sz w:val="28"/>
          <w:szCs w:val="28"/>
          <w:lang w:val="en-US" w:eastAsia="zh-CN"/>
        </w:rPr>
        <w:t>并在第二年维保期结束且考核合格后向乙方</w:t>
      </w:r>
      <w:r>
        <w:rPr>
          <w:rFonts w:hint="eastAsia" w:ascii="宋体" w:hAnsi="宋体" w:eastAsia="宋体" w:cs="宋体"/>
          <w:kern w:val="2"/>
          <w:sz w:val="28"/>
          <w:szCs w:val="28"/>
        </w:rPr>
        <w:t>支付人民币</w:t>
      </w:r>
      <w:r>
        <w:rPr>
          <w:rFonts w:hint="eastAsia" w:ascii="宋体" w:hAnsi="宋体" w:eastAsia="宋体" w:cs="宋体"/>
          <w:kern w:val="2"/>
          <w:sz w:val="28"/>
          <w:szCs w:val="28"/>
          <w:lang w:val="en-US" w:eastAsia="zh-CN"/>
        </w:rPr>
        <w:t xml:space="preserve">   </w:t>
      </w:r>
      <w:r>
        <w:rPr>
          <w:rFonts w:hint="eastAsia" w:ascii="宋体" w:hAnsi="宋体" w:eastAsia="宋体" w:cs="宋体"/>
          <w:kern w:val="2"/>
          <w:sz w:val="28"/>
          <w:szCs w:val="28"/>
        </w:rPr>
        <w:t>元（大写：</w:t>
      </w:r>
      <w:r>
        <w:rPr>
          <w:rFonts w:hint="eastAsia" w:ascii="宋体" w:hAnsi="宋体" w:eastAsia="宋体" w:cs="宋体"/>
          <w:kern w:val="2"/>
          <w:sz w:val="28"/>
          <w:szCs w:val="28"/>
          <w:lang w:val="en-US" w:eastAsia="zh-CN"/>
        </w:rPr>
        <w:t xml:space="preserve">   元</w:t>
      </w:r>
      <w:r>
        <w:rPr>
          <w:rFonts w:hint="eastAsia" w:ascii="宋体" w:hAnsi="宋体" w:eastAsia="宋体" w:cs="宋体"/>
          <w:kern w:val="2"/>
          <w:sz w:val="28"/>
          <w:szCs w:val="28"/>
        </w:rPr>
        <w:t>整）</w:t>
      </w:r>
      <w:r>
        <w:rPr>
          <w:rFonts w:hint="eastAsia" w:ascii="宋体" w:hAnsi="宋体" w:eastAsia="宋体" w:cs="宋体"/>
          <w:kern w:val="2"/>
          <w:sz w:val="28"/>
          <w:szCs w:val="28"/>
          <w:lang w:eastAsia="zh-CN"/>
        </w:rPr>
        <w:t>。</w:t>
      </w:r>
    </w:p>
    <w:p w14:paraId="25C727AD">
      <w:pPr>
        <w:pStyle w:val="7"/>
        <w:keepNext w:val="0"/>
        <w:keepLines w:val="0"/>
        <w:pageBreakBefore w:val="0"/>
        <w:widowControl/>
        <w:kinsoku/>
        <w:wordWrap/>
        <w:overflowPunct/>
        <w:topLinePunct w:val="0"/>
        <w:bidi w:val="0"/>
        <w:spacing w:line="360" w:lineRule="auto"/>
        <w:ind w:left="559" w:leftChars="266" w:firstLine="0" w:firstLineChars="0"/>
        <w:jc w:val="both"/>
        <w:rPr>
          <w:rFonts w:hint="eastAsia" w:ascii="宋体" w:hAnsi="宋体" w:eastAsia="宋体" w:cs="宋体"/>
          <w:kern w:val="2"/>
          <w:sz w:val="28"/>
          <w:szCs w:val="28"/>
        </w:rPr>
      </w:pPr>
      <w:r>
        <w:rPr>
          <w:rFonts w:hint="eastAsia" w:ascii="宋体" w:hAnsi="宋体" w:eastAsia="宋体" w:cs="宋体"/>
          <w:kern w:val="2"/>
          <w:sz w:val="28"/>
          <w:szCs w:val="28"/>
          <w:lang w:val="en-US" w:eastAsia="zh-CN" w:bidi="ar"/>
        </w:rPr>
        <w:t>3.</w:t>
      </w:r>
      <w:r>
        <w:rPr>
          <w:rFonts w:hint="eastAsia" w:ascii="宋体" w:hAnsi="宋体" w:eastAsia="宋体" w:cs="宋体"/>
          <w:kern w:val="2"/>
          <w:sz w:val="28"/>
          <w:szCs w:val="28"/>
        </w:rPr>
        <w:t>第</w:t>
      </w:r>
      <w:r>
        <w:rPr>
          <w:rFonts w:hint="eastAsia" w:ascii="宋体" w:hAnsi="宋体" w:eastAsia="宋体" w:cs="宋体"/>
          <w:kern w:val="2"/>
          <w:sz w:val="28"/>
          <w:szCs w:val="28"/>
          <w:lang w:val="en-US" w:eastAsia="zh-CN"/>
        </w:rPr>
        <w:t>三</w:t>
      </w:r>
      <w:r>
        <w:rPr>
          <w:rFonts w:hint="eastAsia" w:ascii="宋体" w:hAnsi="宋体" w:eastAsia="宋体" w:cs="宋体"/>
          <w:kern w:val="2"/>
          <w:sz w:val="28"/>
          <w:szCs w:val="28"/>
        </w:rPr>
        <w:t>期合同款:</w:t>
      </w:r>
      <w:r>
        <w:rPr>
          <w:rFonts w:hint="eastAsia" w:ascii="宋体" w:hAnsi="宋体" w:eastAsia="宋体" w:cs="宋体"/>
          <w:kern w:val="2"/>
          <w:sz w:val="28"/>
          <w:szCs w:val="28"/>
          <w:lang w:val="en-US" w:eastAsia="zh-CN"/>
        </w:rPr>
        <w:t>第三年维保开始6个月后向乙方支付</w:t>
      </w:r>
      <w:r>
        <w:rPr>
          <w:rFonts w:hint="eastAsia" w:ascii="宋体" w:hAnsi="宋体" w:eastAsia="宋体" w:cs="宋体"/>
          <w:kern w:val="2"/>
          <w:sz w:val="28"/>
          <w:szCs w:val="28"/>
        </w:rPr>
        <w:t>人民币</w:t>
      </w:r>
      <w:r>
        <w:rPr>
          <w:rFonts w:hint="eastAsia" w:ascii="宋体" w:hAnsi="宋体" w:eastAsia="宋体" w:cs="宋体"/>
          <w:kern w:val="2"/>
          <w:sz w:val="28"/>
          <w:szCs w:val="28"/>
          <w:lang w:val="en-US" w:eastAsia="zh-CN"/>
        </w:rPr>
        <w:t xml:space="preserve"> </w:t>
      </w:r>
      <w:r>
        <w:rPr>
          <w:rFonts w:hint="eastAsia" w:ascii="宋体" w:hAnsi="宋体" w:eastAsia="宋体" w:cs="宋体"/>
          <w:kern w:val="2"/>
          <w:sz w:val="28"/>
          <w:szCs w:val="28"/>
        </w:rPr>
        <w:t>元（大写：</w:t>
      </w:r>
      <w:r>
        <w:rPr>
          <w:rFonts w:hint="eastAsia" w:ascii="宋体" w:hAnsi="宋体" w:eastAsia="宋体" w:cs="宋体"/>
          <w:kern w:val="2"/>
          <w:sz w:val="28"/>
          <w:szCs w:val="28"/>
          <w:lang w:val="en-US" w:eastAsia="zh-CN"/>
        </w:rPr>
        <w:t xml:space="preserve">   元</w:t>
      </w:r>
      <w:r>
        <w:rPr>
          <w:rFonts w:hint="eastAsia" w:ascii="宋体" w:hAnsi="宋体" w:eastAsia="宋体" w:cs="宋体"/>
          <w:kern w:val="2"/>
          <w:sz w:val="28"/>
          <w:szCs w:val="28"/>
        </w:rPr>
        <w:t>整）；</w:t>
      </w:r>
      <w:r>
        <w:rPr>
          <w:rFonts w:hint="eastAsia" w:ascii="宋体" w:hAnsi="宋体" w:eastAsia="宋体" w:cs="宋体"/>
          <w:kern w:val="2"/>
          <w:sz w:val="28"/>
          <w:szCs w:val="28"/>
          <w:lang w:val="en-US" w:eastAsia="zh-CN"/>
        </w:rPr>
        <w:t>并在第三年维保期结束且考核合格后向乙方</w:t>
      </w:r>
      <w:r>
        <w:rPr>
          <w:rFonts w:hint="eastAsia" w:ascii="宋体" w:hAnsi="宋体" w:eastAsia="宋体" w:cs="宋体"/>
          <w:kern w:val="2"/>
          <w:sz w:val="28"/>
          <w:szCs w:val="28"/>
        </w:rPr>
        <w:t>支付人民币</w:t>
      </w:r>
      <w:r>
        <w:rPr>
          <w:rFonts w:hint="eastAsia" w:ascii="宋体" w:hAnsi="宋体" w:eastAsia="宋体" w:cs="宋体"/>
          <w:kern w:val="2"/>
          <w:sz w:val="28"/>
          <w:szCs w:val="28"/>
          <w:lang w:val="en-US" w:eastAsia="zh-CN"/>
        </w:rPr>
        <w:t xml:space="preserve">   </w:t>
      </w:r>
      <w:r>
        <w:rPr>
          <w:rFonts w:hint="eastAsia" w:ascii="宋体" w:hAnsi="宋体" w:eastAsia="宋体" w:cs="宋体"/>
          <w:kern w:val="2"/>
          <w:sz w:val="28"/>
          <w:szCs w:val="28"/>
        </w:rPr>
        <w:t>元（大写：</w:t>
      </w:r>
      <w:r>
        <w:rPr>
          <w:rFonts w:hint="eastAsia" w:ascii="宋体" w:hAnsi="宋体" w:eastAsia="宋体" w:cs="宋体"/>
          <w:kern w:val="2"/>
          <w:sz w:val="28"/>
          <w:szCs w:val="28"/>
          <w:lang w:val="en-US" w:eastAsia="zh-CN"/>
        </w:rPr>
        <w:t xml:space="preserve">   元</w:t>
      </w:r>
      <w:r>
        <w:rPr>
          <w:rFonts w:hint="eastAsia" w:ascii="宋体" w:hAnsi="宋体" w:eastAsia="宋体" w:cs="宋体"/>
          <w:kern w:val="2"/>
          <w:sz w:val="28"/>
          <w:szCs w:val="28"/>
        </w:rPr>
        <w:t>整）</w:t>
      </w:r>
      <w:r>
        <w:rPr>
          <w:rFonts w:hint="eastAsia" w:ascii="宋体" w:hAnsi="宋体" w:eastAsia="宋体" w:cs="宋体"/>
          <w:kern w:val="2"/>
          <w:sz w:val="28"/>
          <w:szCs w:val="28"/>
          <w:lang w:eastAsia="zh-CN"/>
        </w:rPr>
        <w:t>。</w:t>
      </w:r>
    </w:p>
    <w:p w14:paraId="0D793D40">
      <w:pPr>
        <w:keepNext w:val="0"/>
        <w:keepLines w:val="0"/>
        <w:pageBreakBefore w:val="0"/>
        <w:widowControl w:val="0"/>
        <w:suppressLineNumbers w:val="0"/>
        <w:kinsoku/>
        <w:wordWrap/>
        <w:overflowPunct/>
        <w:topLinePunct w:val="0"/>
        <w:bidi w:val="0"/>
        <w:spacing w:before="0" w:beforeAutospacing="0" w:after="0" w:afterAutospacing="0" w:line="360" w:lineRule="auto"/>
        <w:ind w:left="0" w:right="0" w:firstLine="560" w:firstLineChars="200"/>
        <w:jc w:val="both"/>
        <w:rPr>
          <w:rFonts w:hint="eastAsia" w:ascii="宋体" w:hAnsi="宋体" w:eastAsia="宋体" w:cs="宋体"/>
          <w:kern w:val="28"/>
          <w:sz w:val="28"/>
          <w:szCs w:val="28"/>
        </w:rPr>
      </w:pPr>
      <w:r>
        <w:rPr>
          <w:rFonts w:hint="eastAsia" w:ascii="宋体" w:hAnsi="宋体" w:eastAsia="宋体" w:cs="宋体"/>
          <w:sz w:val="28"/>
          <w:szCs w:val="28"/>
          <w:lang w:val="en-US" w:eastAsia="zh-CN"/>
        </w:rPr>
        <w:t>4.</w:t>
      </w:r>
      <w:r>
        <w:rPr>
          <w:rFonts w:hint="eastAsia" w:ascii="宋体" w:hAnsi="宋体" w:eastAsia="宋体" w:cs="宋体"/>
          <w:kern w:val="28"/>
          <w:sz w:val="28"/>
          <w:szCs w:val="28"/>
        </w:rPr>
        <w:t>发票要求：</w:t>
      </w:r>
      <w:r>
        <w:rPr>
          <w:rFonts w:hint="eastAsia" w:ascii="宋体" w:hAnsi="宋体" w:eastAsia="宋体" w:cs="宋体"/>
          <w:kern w:val="2"/>
          <w:sz w:val="28"/>
          <w:szCs w:val="28"/>
          <w:lang w:val="en-US" w:eastAsia="zh-CN" w:bidi="ar"/>
        </w:rPr>
        <w:t>每次付款时按照国家相关规定由乙方提供相应金额的正式增值税发票，若乙方迟延提供或提供发票不符合要求，甲方有权延期或拒绝付款且不承担任何违约责任。</w:t>
      </w:r>
    </w:p>
    <w:p w14:paraId="3E632AA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六、乙方义务</w:t>
      </w:r>
    </w:p>
    <w:p w14:paraId="46ABCD0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1</w:t>
      </w:r>
      <w:r>
        <w:rPr>
          <w:rFonts w:hint="eastAsia" w:ascii="宋体" w:hAnsi="宋体" w:eastAsia="宋体" w:cs="宋体"/>
          <w:sz w:val="28"/>
          <w:szCs w:val="28"/>
          <w:lang w:val="en-US" w:eastAsia="zh-CN"/>
        </w:rPr>
        <w:t>.乙方每季度进行一次全面的检查和维护，并进行过配件的更换服务，维护保养结束后，提供详细的报告，包含所有检查和维修的记录。</w:t>
      </w:r>
    </w:p>
    <w:p w14:paraId="3E1B862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2.乙方每季度进行一次全面的安全检查，确保设备在使用过程中的安全，确保所有设备处于良好的运行状态，并向甲方提供详细检查报告。</w:t>
      </w:r>
    </w:p>
    <w:p w14:paraId="5DC4A16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3.乙方接到报修通知后2小时内响应，24小时内到达现场。所提供配件均保证为原厂配件，确保有足够的备件供应，以减少设备停机时间。</w:t>
      </w:r>
    </w:p>
    <w:p w14:paraId="73FC518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FF0000"/>
          <w:sz w:val="28"/>
          <w:szCs w:val="28"/>
          <w:u w:val="single"/>
          <w:lang w:val="en-US"/>
        </w:rPr>
      </w:pPr>
      <w:r>
        <w:rPr>
          <w:rFonts w:hint="eastAsia" w:ascii="宋体" w:hAnsi="宋体" w:eastAsia="宋体" w:cs="宋体"/>
          <w:sz w:val="28"/>
          <w:szCs w:val="28"/>
          <w:lang w:val="en-US" w:eastAsia="zh-CN"/>
        </w:rPr>
        <w:t>4.乙方在设备保修期内，提供过滤器消耗品全面的维护和保养服务，确保设备在保修期内的正常运行。</w:t>
      </w:r>
    </w:p>
    <w:p w14:paraId="711AC31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5</w:t>
      </w:r>
      <w:r>
        <w:rPr>
          <w:rFonts w:hint="eastAsia" w:ascii="宋体" w:hAnsi="宋体" w:eastAsia="宋体" w:cs="宋体"/>
          <w:sz w:val="28"/>
          <w:szCs w:val="28"/>
        </w:rPr>
        <w:t>.乙方上门维修</w:t>
      </w:r>
      <w:r>
        <w:rPr>
          <w:rFonts w:hint="eastAsia" w:ascii="宋体" w:hAnsi="宋体" w:eastAsia="宋体" w:cs="宋体"/>
          <w:sz w:val="28"/>
          <w:szCs w:val="28"/>
          <w:lang w:val="en-US" w:eastAsia="zh-CN"/>
        </w:rPr>
        <w:t>保养</w:t>
      </w:r>
      <w:r>
        <w:rPr>
          <w:rFonts w:hint="eastAsia" w:ascii="宋体" w:hAnsi="宋体" w:eastAsia="宋体" w:cs="宋体"/>
          <w:sz w:val="28"/>
          <w:szCs w:val="28"/>
        </w:rPr>
        <w:t>不收取上门费及工时费。</w:t>
      </w:r>
    </w:p>
    <w:p w14:paraId="5E72520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七、甲方义务</w:t>
      </w:r>
    </w:p>
    <w:p w14:paraId="0A83D67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1.甲方应按合同约定时间按时</w:t>
      </w:r>
      <w:r>
        <w:rPr>
          <w:rFonts w:hint="eastAsia" w:ascii="宋体" w:hAnsi="宋体" w:eastAsia="宋体" w:cs="宋体"/>
          <w:sz w:val="28"/>
          <w:szCs w:val="28"/>
          <w:lang w:val="en-US" w:eastAsia="zh-CN"/>
        </w:rPr>
        <w:t>向</w:t>
      </w:r>
      <w:r>
        <w:rPr>
          <w:rFonts w:hint="eastAsia" w:ascii="宋体" w:hAnsi="宋体" w:eastAsia="宋体" w:cs="宋体"/>
          <w:sz w:val="28"/>
          <w:szCs w:val="28"/>
        </w:rPr>
        <w:t>乙方付款。</w:t>
      </w:r>
    </w:p>
    <w:p w14:paraId="5CF95DE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2.甲方按照乙方提供的安装环境参数，负责安装现场水、电、气及配套设备的工作。</w:t>
      </w:r>
    </w:p>
    <w:p w14:paraId="6B3667A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八、违约责任</w:t>
      </w:r>
    </w:p>
    <w:p w14:paraId="722237B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1.乙方如果未按</w:t>
      </w:r>
      <w:r>
        <w:rPr>
          <w:rFonts w:hint="eastAsia" w:ascii="宋体" w:hAnsi="宋体" w:eastAsia="宋体" w:cs="宋体"/>
          <w:sz w:val="28"/>
          <w:szCs w:val="28"/>
          <w:lang w:val="en-US" w:eastAsia="zh-CN"/>
        </w:rPr>
        <w:t>约定</w:t>
      </w:r>
      <w:r>
        <w:rPr>
          <w:rFonts w:hint="eastAsia" w:ascii="宋体" w:hAnsi="宋体" w:eastAsia="宋体" w:cs="宋体"/>
          <w:sz w:val="28"/>
          <w:szCs w:val="28"/>
        </w:rPr>
        <w:t>时间维修</w:t>
      </w:r>
      <w:r>
        <w:rPr>
          <w:rFonts w:hint="eastAsia" w:ascii="宋体" w:hAnsi="宋体" w:eastAsia="宋体" w:cs="宋体"/>
          <w:sz w:val="28"/>
          <w:szCs w:val="28"/>
          <w:lang w:val="en-US" w:eastAsia="zh-CN"/>
        </w:rPr>
        <w:t>保养</w:t>
      </w:r>
      <w:r>
        <w:rPr>
          <w:rFonts w:hint="eastAsia" w:ascii="宋体" w:hAnsi="宋体" w:eastAsia="宋体" w:cs="宋体"/>
          <w:sz w:val="28"/>
          <w:szCs w:val="28"/>
        </w:rPr>
        <w:t>完毕，</w:t>
      </w:r>
      <w:r>
        <w:rPr>
          <w:rFonts w:hint="eastAsia" w:ascii="宋体" w:hAnsi="宋体" w:eastAsia="宋体" w:cs="宋体"/>
          <w:sz w:val="28"/>
          <w:szCs w:val="28"/>
          <w:lang w:val="en-US" w:eastAsia="zh-CN"/>
        </w:rPr>
        <w:t>每迟延一天承担</w:t>
      </w:r>
      <w:r>
        <w:rPr>
          <w:rFonts w:hint="eastAsia" w:ascii="宋体" w:hAnsi="宋体" w:eastAsia="宋体" w:cs="宋体"/>
          <w:sz w:val="28"/>
          <w:szCs w:val="28"/>
        </w:rPr>
        <w:t>200元</w:t>
      </w:r>
      <w:r>
        <w:rPr>
          <w:rFonts w:hint="eastAsia" w:ascii="宋体" w:hAnsi="宋体" w:eastAsia="宋体" w:cs="宋体"/>
          <w:sz w:val="28"/>
          <w:szCs w:val="28"/>
          <w:lang w:val="en-US" w:eastAsia="zh-CN"/>
        </w:rPr>
        <w:t>的违约金，迟延超过</w:t>
      </w:r>
      <w:r>
        <w:rPr>
          <w:rFonts w:hint="eastAsia" w:ascii="宋体" w:hAnsi="宋体" w:eastAsia="宋体" w:cs="宋体"/>
          <w:sz w:val="28"/>
          <w:szCs w:val="28"/>
          <w:u w:val="none"/>
          <w:lang w:val="en-US" w:eastAsia="zh-CN"/>
        </w:rPr>
        <w:t>7</w:t>
      </w:r>
      <w:r>
        <w:rPr>
          <w:rFonts w:hint="eastAsia" w:ascii="宋体" w:hAnsi="宋体" w:eastAsia="宋体" w:cs="宋体"/>
          <w:sz w:val="28"/>
          <w:szCs w:val="28"/>
          <w:lang w:val="en-US" w:eastAsia="zh-CN"/>
        </w:rPr>
        <w:t>天的，甲方有权解除合同，乙方应再向甲方支付合同总价款20%的违约金，</w:t>
      </w:r>
      <w:r>
        <w:rPr>
          <w:rFonts w:hint="eastAsia" w:ascii="宋体" w:hAnsi="宋体" w:eastAsia="宋体" w:cs="宋体"/>
          <w:sz w:val="28"/>
          <w:szCs w:val="28"/>
          <w:u w:val="none"/>
          <w:lang w:val="en-US" w:eastAsia="zh-CN"/>
        </w:rPr>
        <w:t>违约金不足以弥补甲方损失的，还应继续承担赔偿责任。</w:t>
      </w:r>
      <w:r>
        <w:rPr>
          <w:rFonts w:hint="eastAsia" w:ascii="宋体" w:hAnsi="宋体" w:eastAsia="宋体" w:cs="宋体"/>
          <w:sz w:val="28"/>
          <w:szCs w:val="28"/>
          <w:lang w:val="en-US" w:eastAsia="zh-CN"/>
        </w:rPr>
        <w:t>。</w:t>
      </w:r>
    </w:p>
    <w:p w14:paraId="6810142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2.乙方所更换配件均应符合要求，如发现质量不能达到招标文件和合同约定的技术要求，乙方应立即退货，重新供应符合要求的配件，由此造成的一切损失由乙方承担。</w:t>
      </w:r>
      <w:r>
        <w:rPr>
          <w:rFonts w:hint="eastAsia" w:ascii="宋体" w:hAnsi="宋体" w:eastAsia="宋体" w:cs="宋体"/>
          <w:sz w:val="28"/>
          <w:szCs w:val="28"/>
          <w:lang w:val="en-US" w:eastAsia="zh-CN"/>
        </w:rPr>
        <w:t>乙方收到退货通知后5个工作日内，拒不配合退货的，或者重新供应的货物仍不符合约定的，甲方有权解除合同，乙方应向甲方支付合同总价款20%的违约金，</w:t>
      </w:r>
      <w:r>
        <w:rPr>
          <w:rFonts w:hint="eastAsia" w:ascii="宋体" w:hAnsi="宋体" w:eastAsia="宋体" w:cs="宋体"/>
          <w:sz w:val="28"/>
          <w:szCs w:val="28"/>
          <w:u w:val="none"/>
          <w:lang w:val="en-US" w:eastAsia="zh-CN"/>
        </w:rPr>
        <w:t>违约金不足以弥补甲方损失的，还应继续承担赔偿责任。</w:t>
      </w:r>
      <w:r>
        <w:rPr>
          <w:rFonts w:hint="eastAsia" w:ascii="宋体" w:hAnsi="宋体" w:eastAsia="宋体" w:cs="宋体"/>
          <w:sz w:val="28"/>
          <w:szCs w:val="28"/>
          <w:lang w:val="en-US" w:eastAsia="zh-CN"/>
        </w:rPr>
        <w:t>。</w:t>
      </w:r>
    </w:p>
    <w:p w14:paraId="3CAD2A0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3.甲方无正当理由未按合同约定时间付款，且在收到乙方的书面催告通知后在五个工作日内仍未支付的，应从催告期满之日起，向乙方支付相当于应付款项同期贷款</w:t>
      </w:r>
      <w:r>
        <w:rPr>
          <w:rFonts w:hint="eastAsia" w:ascii="宋体" w:hAnsi="宋体" w:eastAsia="宋体" w:cs="宋体"/>
          <w:sz w:val="28"/>
          <w:szCs w:val="28"/>
          <w:lang w:val="en-US" w:eastAsia="zh-CN"/>
        </w:rPr>
        <w:t>市场报价</w:t>
      </w:r>
      <w:r>
        <w:rPr>
          <w:rFonts w:hint="eastAsia" w:ascii="宋体" w:hAnsi="宋体" w:eastAsia="宋体" w:cs="宋体"/>
          <w:sz w:val="28"/>
          <w:szCs w:val="28"/>
        </w:rPr>
        <w:t>利率的违约金。</w:t>
      </w:r>
    </w:p>
    <w:p w14:paraId="467E63B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4.方每年对乙方服务进行考评，总得分</w:t>
      </w:r>
      <w:r>
        <w:rPr>
          <w:rFonts w:hint="eastAsia" w:ascii="宋体" w:hAnsi="宋体" w:eastAsia="宋体" w:cs="宋体"/>
          <w:sz w:val="28"/>
          <w:szCs w:val="28"/>
          <w:u w:val="single"/>
          <w:lang w:val="en-US" w:eastAsia="zh-CN"/>
        </w:rPr>
        <w:t xml:space="preserve">95 </w:t>
      </w:r>
      <w:r>
        <w:rPr>
          <w:rFonts w:hint="eastAsia" w:ascii="宋体" w:hAnsi="宋体" w:eastAsia="宋体" w:cs="宋体"/>
          <w:sz w:val="28"/>
          <w:szCs w:val="28"/>
          <w:lang w:val="en-US" w:eastAsia="zh-CN"/>
        </w:rPr>
        <w:t>以上为合格，</w:t>
      </w:r>
      <w:r>
        <w:rPr>
          <w:rFonts w:hint="eastAsia" w:ascii="宋体" w:hAnsi="宋体" w:eastAsia="宋体" w:cs="宋体"/>
          <w:sz w:val="28"/>
          <w:szCs w:val="28"/>
          <w:u w:val="single"/>
          <w:lang w:val="en-US" w:eastAsia="zh-CN"/>
        </w:rPr>
        <w:t xml:space="preserve">  94 </w:t>
      </w:r>
      <w:r>
        <w:rPr>
          <w:rFonts w:hint="eastAsia" w:ascii="宋体" w:hAnsi="宋体" w:eastAsia="宋体" w:cs="宋体"/>
          <w:sz w:val="28"/>
          <w:szCs w:val="28"/>
          <w:lang w:val="en-US" w:eastAsia="zh-CN"/>
        </w:rPr>
        <w:t>分至</w:t>
      </w:r>
      <w:r>
        <w:rPr>
          <w:rFonts w:hint="eastAsia" w:ascii="宋体" w:hAnsi="宋体" w:eastAsia="宋体" w:cs="宋体"/>
          <w:sz w:val="28"/>
          <w:szCs w:val="28"/>
          <w:u w:val="single"/>
          <w:lang w:val="en-US" w:eastAsia="zh-CN"/>
        </w:rPr>
        <w:t xml:space="preserve"> 90 </w:t>
      </w:r>
      <w:r>
        <w:rPr>
          <w:rFonts w:hint="eastAsia" w:ascii="宋体" w:hAnsi="宋体" w:eastAsia="宋体" w:cs="宋体"/>
          <w:sz w:val="28"/>
          <w:szCs w:val="28"/>
          <w:lang w:val="en-US" w:eastAsia="zh-CN"/>
        </w:rPr>
        <w:t>分，乙方应因服务质量不满足甲方要求，以合格分数为标准，向甲方支付</w:t>
      </w:r>
      <w:r>
        <w:rPr>
          <w:rFonts w:hint="eastAsia" w:ascii="宋体" w:hAnsi="宋体" w:eastAsia="宋体" w:cs="宋体"/>
          <w:sz w:val="28"/>
          <w:szCs w:val="28"/>
          <w:u w:val="single"/>
          <w:lang w:val="en-US" w:eastAsia="zh-CN"/>
        </w:rPr>
        <w:t xml:space="preserve"> 1000</w:t>
      </w:r>
      <w:r>
        <w:rPr>
          <w:rFonts w:hint="eastAsia" w:ascii="宋体" w:hAnsi="宋体" w:eastAsia="宋体" w:cs="宋体"/>
          <w:sz w:val="28"/>
          <w:szCs w:val="28"/>
          <w:lang w:val="en-US" w:eastAsia="zh-CN"/>
        </w:rPr>
        <w:t>元/分的违约金；低于</w:t>
      </w:r>
      <w:r>
        <w:rPr>
          <w:rFonts w:hint="eastAsia" w:ascii="宋体" w:hAnsi="宋体" w:eastAsia="宋体" w:cs="宋体"/>
          <w:sz w:val="28"/>
          <w:szCs w:val="28"/>
          <w:u w:val="single"/>
          <w:lang w:val="en-US" w:eastAsia="zh-CN"/>
        </w:rPr>
        <w:t>90</w:t>
      </w:r>
      <w:r>
        <w:rPr>
          <w:rFonts w:hint="eastAsia" w:ascii="宋体" w:hAnsi="宋体" w:eastAsia="宋体" w:cs="宋体"/>
          <w:sz w:val="28"/>
          <w:szCs w:val="28"/>
          <w:lang w:val="en-US" w:eastAsia="zh-CN"/>
        </w:rPr>
        <w:t>分，甲方有权解除合同（具体参照附件“年度合同考核表”）。</w:t>
      </w:r>
    </w:p>
    <w:p w14:paraId="4BB31F06">
      <w:pPr>
        <w:numPr>
          <w:ilvl w:val="-1"/>
          <w:numId w:val="0"/>
        </w:numPr>
        <w:snapToGrid w:val="0"/>
        <w:spacing w:line="360" w:lineRule="auto"/>
        <w:ind w:left="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5.甲方有权在应付货款中直接扣除相应违约金。</w:t>
      </w:r>
    </w:p>
    <w:p w14:paraId="2949712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8"/>
          <w:szCs w:val="28"/>
          <w:lang w:eastAsia="zh-CN"/>
        </w:rPr>
      </w:pPr>
      <w:r>
        <w:rPr>
          <w:rFonts w:hint="eastAsia" w:ascii="宋体" w:hAnsi="宋体" w:eastAsia="宋体" w:cs="宋体"/>
          <w:b w:val="0"/>
          <w:bCs w:val="0"/>
          <w:color w:val="000000" w:themeColor="text1"/>
          <w:sz w:val="28"/>
          <w:szCs w:val="28"/>
          <w:lang w:val="en-US" w:eastAsia="zh-CN"/>
          <w14:textFill>
            <w14:solidFill>
              <w14:schemeClr w14:val="tx1"/>
            </w14:solidFill>
          </w14:textFill>
        </w:rPr>
        <w:t>九、</w:t>
      </w:r>
      <w:r>
        <w:rPr>
          <w:rFonts w:hint="eastAsia" w:ascii="宋体" w:hAnsi="宋体" w:eastAsia="宋体" w:cs="宋体"/>
          <w:b w:val="0"/>
          <w:bCs w:val="0"/>
          <w:sz w:val="28"/>
          <w:szCs w:val="28"/>
        </w:rPr>
        <w:t xml:space="preserve"> </w:t>
      </w:r>
      <w:r>
        <w:rPr>
          <w:rFonts w:hint="eastAsia" w:ascii="宋体" w:hAnsi="宋体" w:eastAsia="宋体" w:cs="宋体"/>
          <w:b w:val="0"/>
          <w:bCs w:val="0"/>
          <w:sz w:val="28"/>
          <w:szCs w:val="28"/>
          <w:lang w:val="en-US" w:eastAsia="zh-CN"/>
        </w:rPr>
        <w:t>合同变更与解除</w:t>
      </w:r>
    </w:p>
    <w:p w14:paraId="348A61F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经本合同双方同意，可以变更或解除本合同；由于战争或其他军事行动、地震、水灾、火灾、台风</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政府政策变化</w:t>
      </w:r>
      <w:r>
        <w:rPr>
          <w:rFonts w:hint="eastAsia" w:ascii="宋体" w:hAnsi="宋体" w:eastAsia="宋体" w:cs="宋体"/>
          <w:sz w:val="28"/>
          <w:szCs w:val="28"/>
        </w:rPr>
        <w:t>等不可抗力引起的合同</w:t>
      </w:r>
      <w:r>
        <w:rPr>
          <w:rFonts w:hint="eastAsia" w:ascii="宋体" w:hAnsi="宋体" w:eastAsia="宋体" w:cs="宋体"/>
          <w:sz w:val="28"/>
          <w:szCs w:val="28"/>
          <w:lang w:val="en-US" w:eastAsia="zh-CN"/>
        </w:rPr>
        <w:t>变更</w:t>
      </w:r>
      <w:r>
        <w:rPr>
          <w:rFonts w:hint="eastAsia" w:ascii="宋体" w:hAnsi="宋体" w:eastAsia="宋体" w:cs="宋体"/>
          <w:sz w:val="28"/>
          <w:szCs w:val="28"/>
        </w:rPr>
        <w:t>、延期和中止，甲乙双方不负</w:t>
      </w:r>
      <w:r>
        <w:rPr>
          <w:rFonts w:hint="eastAsia" w:ascii="宋体" w:hAnsi="宋体" w:eastAsia="宋体" w:cs="宋体"/>
          <w:sz w:val="28"/>
          <w:szCs w:val="28"/>
          <w:lang w:val="en-US" w:eastAsia="zh-CN"/>
        </w:rPr>
        <w:t>违约</w:t>
      </w:r>
      <w:r>
        <w:rPr>
          <w:rFonts w:hint="eastAsia" w:ascii="宋体" w:hAnsi="宋体" w:eastAsia="宋体" w:cs="宋体"/>
          <w:sz w:val="28"/>
          <w:szCs w:val="28"/>
        </w:rPr>
        <w:t>责任。</w:t>
      </w:r>
      <w:r>
        <w:rPr>
          <w:rFonts w:hint="eastAsia" w:ascii="宋体" w:hAnsi="宋体" w:eastAsia="宋体" w:cs="宋体"/>
          <w:sz w:val="28"/>
          <w:szCs w:val="28"/>
          <w:lang w:val="en-US" w:eastAsia="zh-CN"/>
        </w:rPr>
        <w:t>受不可抗力直接影响的一方应在不可抗力发生后5日之内及时通知另一方，并采取合理措施止损，如未及时通知或采取措施而造成的损失扩大的，应赔偿相应损失。</w:t>
      </w:r>
    </w:p>
    <w:p w14:paraId="26801BA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因不可抗力导致合同目的不能实现的，则双方均有权解除合同，未履行的部分终止履行，已经履行的部分按照法律规定进行清算结算。</w:t>
      </w:r>
    </w:p>
    <w:p w14:paraId="426BC6E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十</w:t>
      </w:r>
      <w:r>
        <w:rPr>
          <w:rFonts w:hint="eastAsia" w:ascii="宋体" w:hAnsi="宋体" w:eastAsia="宋体" w:cs="宋体"/>
          <w:sz w:val="28"/>
          <w:szCs w:val="28"/>
        </w:rPr>
        <w:t>、解决合同纠纷的方式</w:t>
      </w:r>
    </w:p>
    <w:p w14:paraId="2455003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双方友好协商，协商未果，</w:t>
      </w:r>
      <w:r>
        <w:rPr>
          <w:rFonts w:hint="eastAsia" w:ascii="宋体" w:hAnsi="宋体" w:eastAsia="宋体" w:cs="宋体"/>
          <w:sz w:val="28"/>
          <w:szCs w:val="28"/>
          <w:lang w:val="en-US" w:eastAsia="zh-CN"/>
        </w:rPr>
        <w:t>向甲方所在地人民法院诉讼解决</w:t>
      </w:r>
      <w:r>
        <w:rPr>
          <w:rFonts w:hint="eastAsia" w:ascii="宋体" w:hAnsi="宋体" w:eastAsia="宋体" w:cs="宋体"/>
          <w:sz w:val="28"/>
          <w:szCs w:val="28"/>
        </w:rPr>
        <w:t>。</w:t>
      </w:r>
    </w:p>
    <w:p w14:paraId="39164D7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十</w:t>
      </w:r>
      <w:r>
        <w:rPr>
          <w:rFonts w:hint="eastAsia" w:ascii="宋体" w:hAnsi="宋体" w:eastAsia="宋体" w:cs="宋体"/>
          <w:sz w:val="28"/>
          <w:szCs w:val="28"/>
          <w:lang w:val="en-US" w:eastAsia="zh-CN"/>
        </w:rPr>
        <w:t>一</w:t>
      </w:r>
      <w:r>
        <w:rPr>
          <w:rFonts w:hint="eastAsia" w:ascii="宋体" w:hAnsi="宋体" w:eastAsia="宋体" w:cs="宋体"/>
          <w:sz w:val="28"/>
          <w:szCs w:val="28"/>
        </w:rPr>
        <w:t>、其他事宜</w:t>
      </w:r>
    </w:p>
    <w:p w14:paraId="497395C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1.本合同壹式肆份，甲方叁份 乙方壹份，双方签字盖章后生效，具有同等法律效力，合同未尽事宜双方可协商解决或另立补充协议。</w:t>
      </w:r>
    </w:p>
    <w:p w14:paraId="5D011BF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2.招标文件与投标文件及装箱单、彩色宣传页均为本合同不可分割的组成部分，与本合同具有同等法律效力。</w:t>
      </w:r>
    </w:p>
    <w:p w14:paraId="59A6A58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val="0"/>
          <w:color w:val="000000"/>
          <w:spacing w:val="0"/>
          <w:kern w:val="2"/>
          <w:sz w:val="28"/>
          <w:szCs w:val="28"/>
          <w:lang w:val="en-US" w:eastAsia="zh-CN"/>
        </w:rPr>
      </w:pPr>
      <w:r>
        <w:rPr>
          <w:rFonts w:hint="eastAsia" w:ascii="宋体" w:hAnsi="宋体" w:eastAsia="宋体" w:cs="宋体"/>
          <w:kern w:val="2"/>
          <w:sz w:val="28"/>
          <w:szCs w:val="28"/>
          <w:lang w:val="en-US" w:eastAsia="zh-CN"/>
        </w:rPr>
        <w:t>3.</w:t>
      </w:r>
      <w:r>
        <w:rPr>
          <w:rFonts w:hint="eastAsia" w:ascii="宋体" w:hAnsi="宋体" w:eastAsia="宋体" w:cs="宋体"/>
          <w:b w:val="0"/>
          <w:color w:val="000000"/>
          <w:spacing w:val="0"/>
          <w:kern w:val="2"/>
          <w:sz w:val="28"/>
          <w:szCs w:val="28"/>
          <w:lang w:val="en-US" w:eastAsia="zh-CN"/>
        </w:rPr>
        <w:t>本</w:t>
      </w:r>
      <w:r>
        <w:rPr>
          <w:rFonts w:hint="eastAsia" w:ascii="宋体" w:hAnsi="宋体" w:eastAsia="宋体" w:cs="宋体"/>
          <w:b w:val="0"/>
          <w:spacing w:val="0"/>
          <w:kern w:val="2"/>
          <w:sz w:val="28"/>
          <w:szCs w:val="28"/>
          <w:lang w:val="en-US" w:eastAsia="zh-CN"/>
        </w:rPr>
        <w:t>合同</w:t>
      </w:r>
      <w:r>
        <w:rPr>
          <w:rFonts w:hint="eastAsia" w:ascii="宋体" w:hAnsi="宋体" w:eastAsia="宋体" w:cs="宋体"/>
          <w:b w:val="0"/>
          <w:color w:val="000000"/>
          <w:spacing w:val="0"/>
          <w:kern w:val="2"/>
          <w:sz w:val="28"/>
          <w:szCs w:val="28"/>
          <w:lang w:val="en-US" w:eastAsia="zh-CN"/>
        </w:rPr>
        <w:t>签字盖章栏所列明的双方地址、电话、委托代理人为双方在合同履行及争议解决期间的有效联系方式，如有变更，变更一方应当在变更后三日内书面通知另一方。本合同履行过程中需要书面通知另一方的，一方应将书面通知送达本协议列明的地址及委托代理人，只要该书面通知按照以上地址寄送、发送的，寄送、发送之日起第2日，应视为另一方已经知晓该通知内容。任何一方变更联系方式而未书面通知对方的，均视为未变更，由此产生的一切不利后果均由变更方自行承担。</w:t>
      </w:r>
    </w:p>
    <w:p w14:paraId="2607E34B">
      <w:pPr>
        <w:pStyle w:val="15"/>
        <w:rPr>
          <w:rFonts w:hint="eastAsia" w:ascii="宋体" w:hAnsi="宋体" w:eastAsia="宋体" w:cs="宋体"/>
          <w:sz w:val="28"/>
          <w:szCs w:val="28"/>
          <w:lang w:val="en-US" w:eastAsia="zh-CN"/>
        </w:rPr>
      </w:pPr>
    </w:p>
    <w:p w14:paraId="59A05BC6">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8"/>
          <w:szCs w:val="28"/>
        </w:rPr>
      </w:pPr>
      <w:r>
        <w:rPr>
          <w:rFonts w:hint="eastAsia" w:ascii="宋体" w:hAnsi="宋体" w:eastAsia="宋体" w:cs="宋体"/>
          <w:sz w:val="28"/>
          <w:szCs w:val="28"/>
        </w:rPr>
        <w:t xml:space="preserve">甲方：陕西中医药大学附属医院      乙方： </w:t>
      </w:r>
    </w:p>
    <w:p w14:paraId="4E16913C">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8"/>
          <w:szCs w:val="28"/>
        </w:rPr>
      </w:pPr>
      <w:r>
        <w:rPr>
          <w:rFonts w:hint="eastAsia" w:ascii="宋体" w:hAnsi="宋体" w:eastAsia="宋体" w:cs="宋体"/>
          <w:sz w:val="28"/>
          <w:szCs w:val="28"/>
        </w:rPr>
        <w:t xml:space="preserve">地址：咸阳市渭阳西路副2号        地址： </w:t>
      </w:r>
    </w:p>
    <w:p w14:paraId="72398FD8">
      <w:pPr>
        <w:keepNext w:val="0"/>
        <w:keepLines w:val="0"/>
        <w:pageBreakBefore w:val="0"/>
        <w:widowControl w:val="0"/>
        <w:kinsoku/>
        <w:wordWrap/>
        <w:overflowPunct/>
        <w:topLinePunct w:val="0"/>
        <w:autoSpaceDE/>
        <w:autoSpaceDN/>
        <w:bidi w:val="0"/>
        <w:adjustRightInd/>
        <w:snapToGrid/>
        <w:spacing w:line="500" w:lineRule="exact"/>
        <w:ind w:firstLine="4760" w:firstLineChars="17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法人代表：</w:t>
      </w:r>
    </w:p>
    <w:p w14:paraId="3CBBB316">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 xml:space="preserve">委托代理人：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委托代理人：</w:t>
      </w:r>
    </w:p>
    <w:p w14:paraId="1108000D">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开户银行： </w:t>
      </w:r>
    </w:p>
    <w:p w14:paraId="10B04590">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银行账号：</w:t>
      </w:r>
    </w:p>
    <w:p w14:paraId="2512B192">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8"/>
          <w:szCs w:val="28"/>
        </w:rPr>
      </w:pPr>
      <w:r>
        <w:rPr>
          <w:rFonts w:hint="eastAsia" w:ascii="宋体" w:hAnsi="宋体" w:eastAsia="宋体" w:cs="宋体"/>
          <w:sz w:val="28"/>
          <w:szCs w:val="28"/>
        </w:rPr>
        <w:t>电话：029-33</w:t>
      </w:r>
      <w:r>
        <w:rPr>
          <w:rFonts w:hint="eastAsia" w:ascii="宋体" w:hAnsi="宋体" w:eastAsia="宋体" w:cs="宋体"/>
          <w:sz w:val="28"/>
          <w:szCs w:val="28"/>
          <w:lang w:val="en-US" w:eastAsia="zh-CN"/>
        </w:rPr>
        <w:t>125597</w:t>
      </w: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电话：</w:t>
      </w:r>
    </w:p>
    <w:p w14:paraId="5FF3A291">
      <w:pPr>
        <w:rPr>
          <w:rFonts w:hint="eastAsia" w:ascii="宋体" w:hAnsi="宋体" w:eastAsia="宋体" w:cs="宋体"/>
          <w:sz w:val="28"/>
          <w:szCs w:val="28"/>
        </w:rPr>
      </w:pPr>
      <w:r>
        <w:rPr>
          <w:rFonts w:hint="eastAsia" w:ascii="宋体" w:hAnsi="宋体" w:eastAsia="宋体" w:cs="宋体"/>
          <w:sz w:val="28"/>
          <w:szCs w:val="28"/>
        </w:rPr>
        <w:t>日期：</w:t>
      </w:r>
      <w:r>
        <w:rPr>
          <w:rFonts w:hint="eastAsia" w:ascii="宋体" w:hAnsi="宋体" w:eastAsia="宋体" w:cs="宋体"/>
          <w:sz w:val="28"/>
          <w:szCs w:val="28"/>
          <w:lang w:val="en-US" w:eastAsia="zh-CN"/>
        </w:rPr>
        <w:t xml:space="preserve">  年  月  日</w:t>
      </w:r>
      <w:r>
        <w:rPr>
          <w:rFonts w:hint="eastAsia" w:ascii="宋体" w:hAnsi="宋体" w:eastAsia="宋体" w:cs="宋体"/>
          <w:sz w:val="28"/>
          <w:szCs w:val="28"/>
        </w:rPr>
        <w:t xml:space="preserve">                日期：</w:t>
      </w:r>
      <w:r>
        <w:rPr>
          <w:rFonts w:hint="eastAsia" w:ascii="宋体" w:hAnsi="宋体" w:eastAsia="宋体" w:cs="宋体"/>
          <w:sz w:val="28"/>
          <w:szCs w:val="28"/>
          <w:lang w:val="en-US" w:eastAsia="zh-CN"/>
        </w:rPr>
        <w:t xml:space="preserve"> 年  月  日</w:t>
      </w:r>
    </w:p>
    <w:p w14:paraId="67DD6186">
      <w:pPr>
        <w:rPr>
          <w:rFonts w:hint="eastAsia" w:ascii="宋体" w:hAnsi="宋体" w:eastAsia="宋体" w:cs="宋体"/>
        </w:rPr>
      </w:pPr>
    </w:p>
    <w:p w14:paraId="3219360E">
      <w:p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br w:type="page"/>
      </w:r>
    </w:p>
    <w:p w14:paraId="48121118">
      <w:p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附件：</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1155"/>
        <w:gridCol w:w="1542"/>
        <w:gridCol w:w="1355"/>
        <w:gridCol w:w="585"/>
        <w:gridCol w:w="970"/>
        <w:gridCol w:w="1056"/>
        <w:gridCol w:w="1057"/>
      </w:tblGrid>
      <w:tr w14:paraId="1FA6F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tcPr>
          <w:p w14:paraId="426D119A">
            <w:pPr>
              <w:widowControl w:val="0"/>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序号</w:t>
            </w:r>
          </w:p>
        </w:tc>
        <w:tc>
          <w:tcPr>
            <w:tcW w:w="1156" w:type="dxa"/>
          </w:tcPr>
          <w:p w14:paraId="14DE8EC1">
            <w:pPr>
              <w:widowControl w:val="0"/>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商品</w:t>
            </w:r>
          </w:p>
        </w:tc>
        <w:tc>
          <w:tcPr>
            <w:tcW w:w="1544" w:type="dxa"/>
          </w:tcPr>
          <w:p w14:paraId="0671EFD0">
            <w:pPr>
              <w:widowControl w:val="0"/>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规格型号</w:t>
            </w:r>
          </w:p>
        </w:tc>
        <w:tc>
          <w:tcPr>
            <w:tcW w:w="1357" w:type="dxa"/>
          </w:tcPr>
          <w:p w14:paraId="344A86D3">
            <w:pPr>
              <w:widowControl w:val="0"/>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生产厂家</w:t>
            </w:r>
          </w:p>
        </w:tc>
        <w:tc>
          <w:tcPr>
            <w:tcW w:w="585" w:type="dxa"/>
          </w:tcPr>
          <w:p w14:paraId="50CFB22F">
            <w:pPr>
              <w:widowControl w:val="0"/>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单位</w:t>
            </w:r>
          </w:p>
        </w:tc>
        <w:tc>
          <w:tcPr>
            <w:tcW w:w="971" w:type="dxa"/>
          </w:tcPr>
          <w:p w14:paraId="1FAC6845">
            <w:pPr>
              <w:widowControl w:val="0"/>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数量</w:t>
            </w:r>
          </w:p>
        </w:tc>
        <w:tc>
          <w:tcPr>
            <w:tcW w:w="1056" w:type="dxa"/>
            <w:vAlign w:val="top"/>
          </w:tcPr>
          <w:p w14:paraId="3993196B">
            <w:pPr>
              <w:widowControl w:val="0"/>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单价</w:t>
            </w:r>
          </w:p>
          <w:p w14:paraId="04571E86">
            <w:pPr>
              <w:widowControl w:val="0"/>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（元）</w:t>
            </w:r>
          </w:p>
        </w:tc>
        <w:tc>
          <w:tcPr>
            <w:tcW w:w="1056" w:type="dxa"/>
            <w:vAlign w:val="top"/>
          </w:tcPr>
          <w:p w14:paraId="518C614E">
            <w:pPr>
              <w:widowControl w:val="0"/>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金额</w:t>
            </w:r>
          </w:p>
          <w:p w14:paraId="3DB0ABAA">
            <w:pPr>
              <w:widowControl w:val="0"/>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（元）</w:t>
            </w:r>
          </w:p>
        </w:tc>
      </w:tr>
      <w:tr w14:paraId="33DE7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tcPr>
          <w:p w14:paraId="4094924F">
            <w:pPr>
              <w:widowControl w:val="0"/>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1</w:t>
            </w:r>
          </w:p>
        </w:tc>
        <w:tc>
          <w:tcPr>
            <w:tcW w:w="1156" w:type="dxa"/>
          </w:tcPr>
          <w:p w14:paraId="32FCC22C">
            <w:pPr>
              <w:widowControl w:val="0"/>
              <w:jc w:val="center"/>
              <w:rPr>
                <w:rFonts w:hint="eastAsia" w:ascii="宋体" w:hAnsi="宋体" w:eastAsia="宋体" w:cs="宋体"/>
                <w:sz w:val="28"/>
                <w:szCs w:val="28"/>
                <w:vertAlign w:val="baseline"/>
                <w:lang w:val="en-US" w:eastAsia="zh-CN"/>
              </w:rPr>
            </w:pPr>
          </w:p>
        </w:tc>
        <w:tc>
          <w:tcPr>
            <w:tcW w:w="1544" w:type="dxa"/>
          </w:tcPr>
          <w:p w14:paraId="0AD1B18F">
            <w:pPr>
              <w:widowControl w:val="0"/>
              <w:jc w:val="center"/>
              <w:rPr>
                <w:rFonts w:hint="eastAsia" w:ascii="宋体" w:hAnsi="宋体" w:eastAsia="宋体" w:cs="宋体"/>
                <w:sz w:val="28"/>
                <w:szCs w:val="28"/>
                <w:vertAlign w:val="baseline"/>
                <w:lang w:val="en-US" w:eastAsia="zh-CN"/>
              </w:rPr>
            </w:pPr>
          </w:p>
        </w:tc>
        <w:tc>
          <w:tcPr>
            <w:tcW w:w="1357" w:type="dxa"/>
          </w:tcPr>
          <w:p w14:paraId="0B176F47">
            <w:pPr>
              <w:widowControl w:val="0"/>
              <w:jc w:val="center"/>
              <w:rPr>
                <w:rFonts w:hint="eastAsia" w:ascii="宋体" w:hAnsi="宋体" w:eastAsia="宋体" w:cs="宋体"/>
                <w:sz w:val="28"/>
                <w:szCs w:val="28"/>
                <w:vertAlign w:val="baseline"/>
                <w:lang w:val="en-US" w:eastAsia="zh-CN"/>
              </w:rPr>
            </w:pPr>
          </w:p>
        </w:tc>
        <w:tc>
          <w:tcPr>
            <w:tcW w:w="585" w:type="dxa"/>
          </w:tcPr>
          <w:p w14:paraId="646D5225">
            <w:pPr>
              <w:widowControl w:val="0"/>
              <w:jc w:val="center"/>
              <w:rPr>
                <w:rFonts w:hint="eastAsia" w:ascii="宋体" w:hAnsi="宋体" w:eastAsia="宋体" w:cs="宋体"/>
                <w:sz w:val="28"/>
                <w:szCs w:val="28"/>
                <w:vertAlign w:val="baseline"/>
                <w:lang w:val="en-US" w:eastAsia="zh-CN"/>
              </w:rPr>
            </w:pPr>
          </w:p>
        </w:tc>
        <w:tc>
          <w:tcPr>
            <w:tcW w:w="971" w:type="dxa"/>
          </w:tcPr>
          <w:p w14:paraId="54C449EE">
            <w:pPr>
              <w:widowControl w:val="0"/>
              <w:jc w:val="center"/>
              <w:rPr>
                <w:rFonts w:hint="eastAsia" w:ascii="宋体" w:hAnsi="宋体" w:eastAsia="宋体" w:cs="宋体"/>
                <w:sz w:val="28"/>
                <w:szCs w:val="28"/>
                <w:vertAlign w:val="baseline"/>
                <w:lang w:val="en-US" w:eastAsia="zh-CN"/>
              </w:rPr>
            </w:pPr>
          </w:p>
        </w:tc>
        <w:tc>
          <w:tcPr>
            <w:tcW w:w="1056" w:type="dxa"/>
          </w:tcPr>
          <w:p w14:paraId="0F3D3A7B">
            <w:pPr>
              <w:widowControl w:val="0"/>
              <w:jc w:val="center"/>
              <w:rPr>
                <w:rFonts w:hint="eastAsia" w:ascii="宋体" w:hAnsi="宋体" w:eastAsia="宋体" w:cs="宋体"/>
                <w:sz w:val="28"/>
                <w:szCs w:val="28"/>
                <w:vertAlign w:val="baseline"/>
                <w:lang w:val="en-US" w:eastAsia="zh-CN"/>
              </w:rPr>
            </w:pPr>
          </w:p>
        </w:tc>
        <w:tc>
          <w:tcPr>
            <w:tcW w:w="1056" w:type="dxa"/>
          </w:tcPr>
          <w:p w14:paraId="252C7439">
            <w:pPr>
              <w:widowControl w:val="0"/>
              <w:jc w:val="center"/>
              <w:rPr>
                <w:rFonts w:hint="eastAsia" w:ascii="宋体" w:hAnsi="宋体" w:eastAsia="宋体" w:cs="宋体"/>
                <w:sz w:val="28"/>
                <w:szCs w:val="28"/>
                <w:vertAlign w:val="baseline"/>
                <w:lang w:val="en-US" w:eastAsia="zh-CN"/>
              </w:rPr>
            </w:pPr>
          </w:p>
        </w:tc>
      </w:tr>
      <w:tr w14:paraId="79544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tcPr>
          <w:p w14:paraId="2FA75E46">
            <w:pPr>
              <w:widowControl w:val="0"/>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2</w:t>
            </w:r>
          </w:p>
        </w:tc>
        <w:tc>
          <w:tcPr>
            <w:tcW w:w="1156" w:type="dxa"/>
          </w:tcPr>
          <w:p w14:paraId="4C30A094">
            <w:pPr>
              <w:widowControl w:val="0"/>
              <w:jc w:val="center"/>
              <w:rPr>
                <w:rFonts w:hint="eastAsia" w:ascii="宋体" w:hAnsi="宋体" w:eastAsia="宋体" w:cs="宋体"/>
                <w:sz w:val="28"/>
                <w:szCs w:val="28"/>
                <w:vertAlign w:val="baseline"/>
              </w:rPr>
            </w:pPr>
          </w:p>
        </w:tc>
        <w:tc>
          <w:tcPr>
            <w:tcW w:w="1544" w:type="dxa"/>
          </w:tcPr>
          <w:p w14:paraId="78AEAC46">
            <w:pPr>
              <w:widowControl w:val="0"/>
              <w:jc w:val="center"/>
              <w:rPr>
                <w:rFonts w:hint="eastAsia" w:ascii="宋体" w:hAnsi="宋体" w:eastAsia="宋体" w:cs="宋体"/>
                <w:sz w:val="28"/>
                <w:szCs w:val="28"/>
                <w:vertAlign w:val="baseline"/>
                <w:lang w:val="en-US"/>
              </w:rPr>
            </w:pPr>
          </w:p>
        </w:tc>
        <w:tc>
          <w:tcPr>
            <w:tcW w:w="1357" w:type="dxa"/>
            <w:vAlign w:val="top"/>
          </w:tcPr>
          <w:p w14:paraId="339C0377">
            <w:pPr>
              <w:widowControl w:val="0"/>
              <w:jc w:val="center"/>
              <w:rPr>
                <w:rFonts w:hint="eastAsia" w:ascii="宋体" w:hAnsi="宋体" w:eastAsia="宋体" w:cs="宋体"/>
                <w:sz w:val="28"/>
                <w:szCs w:val="28"/>
                <w:vertAlign w:val="baseline"/>
              </w:rPr>
            </w:pPr>
          </w:p>
        </w:tc>
        <w:tc>
          <w:tcPr>
            <w:tcW w:w="585" w:type="dxa"/>
            <w:vAlign w:val="top"/>
          </w:tcPr>
          <w:p w14:paraId="3C749E32">
            <w:pPr>
              <w:widowControl w:val="0"/>
              <w:jc w:val="center"/>
              <w:rPr>
                <w:rFonts w:hint="eastAsia" w:ascii="宋体" w:hAnsi="宋体" w:eastAsia="宋体" w:cs="宋体"/>
                <w:sz w:val="28"/>
                <w:szCs w:val="28"/>
                <w:vertAlign w:val="baseline"/>
              </w:rPr>
            </w:pPr>
          </w:p>
        </w:tc>
        <w:tc>
          <w:tcPr>
            <w:tcW w:w="971" w:type="dxa"/>
          </w:tcPr>
          <w:p w14:paraId="2A62125B">
            <w:pPr>
              <w:widowControl w:val="0"/>
              <w:jc w:val="center"/>
              <w:rPr>
                <w:rFonts w:hint="eastAsia" w:ascii="宋体" w:hAnsi="宋体" w:eastAsia="宋体" w:cs="宋体"/>
                <w:sz w:val="28"/>
                <w:szCs w:val="28"/>
                <w:vertAlign w:val="baseline"/>
                <w:lang w:val="en-US" w:eastAsia="zh-CN"/>
              </w:rPr>
            </w:pPr>
          </w:p>
        </w:tc>
        <w:tc>
          <w:tcPr>
            <w:tcW w:w="1056" w:type="dxa"/>
          </w:tcPr>
          <w:p w14:paraId="7588D332">
            <w:pPr>
              <w:widowControl w:val="0"/>
              <w:jc w:val="center"/>
              <w:rPr>
                <w:rFonts w:hint="eastAsia" w:ascii="宋体" w:hAnsi="宋体" w:eastAsia="宋体" w:cs="宋体"/>
                <w:sz w:val="28"/>
                <w:szCs w:val="28"/>
                <w:vertAlign w:val="baseline"/>
                <w:lang w:val="en-US" w:eastAsia="zh-CN"/>
              </w:rPr>
            </w:pPr>
          </w:p>
        </w:tc>
        <w:tc>
          <w:tcPr>
            <w:tcW w:w="1056" w:type="dxa"/>
          </w:tcPr>
          <w:p w14:paraId="57765B92">
            <w:pPr>
              <w:widowControl w:val="0"/>
              <w:jc w:val="center"/>
              <w:rPr>
                <w:rFonts w:hint="eastAsia" w:ascii="宋体" w:hAnsi="宋体" w:eastAsia="宋体" w:cs="宋体"/>
                <w:sz w:val="28"/>
                <w:szCs w:val="28"/>
                <w:vertAlign w:val="baseline"/>
                <w:lang w:val="en-US" w:eastAsia="zh-CN"/>
              </w:rPr>
            </w:pPr>
          </w:p>
        </w:tc>
      </w:tr>
      <w:tr w14:paraId="21C95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tcPr>
          <w:p w14:paraId="08E734AD">
            <w:pPr>
              <w:widowControl w:val="0"/>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3</w:t>
            </w:r>
          </w:p>
        </w:tc>
        <w:tc>
          <w:tcPr>
            <w:tcW w:w="1156" w:type="dxa"/>
          </w:tcPr>
          <w:p w14:paraId="230F5A71">
            <w:pPr>
              <w:widowControl w:val="0"/>
              <w:jc w:val="center"/>
              <w:rPr>
                <w:rFonts w:hint="eastAsia" w:ascii="宋体" w:hAnsi="宋体" w:eastAsia="宋体" w:cs="宋体"/>
                <w:sz w:val="28"/>
                <w:szCs w:val="28"/>
                <w:vertAlign w:val="baseline"/>
                <w:lang w:val="en-US" w:eastAsia="zh-CN"/>
              </w:rPr>
            </w:pPr>
          </w:p>
        </w:tc>
        <w:tc>
          <w:tcPr>
            <w:tcW w:w="1544" w:type="dxa"/>
          </w:tcPr>
          <w:p w14:paraId="3C7F104B">
            <w:pPr>
              <w:widowControl w:val="0"/>
              <w:jc w:val="center"/>
              <w:rPr>
                <w:rFonts w:hint="eastAsia" w:ascii="宋体" w:hAnsi="宋体" w:eastAsia="宋体" w:cs="宋体"/>
                <w:sz w:val="28"/>
                <w:szCs w:val="28"/>
                <w:vertAlign w:val="baseline"/>
                <w:lang w:val="en-US"/>
              </w:rPr>
            </w:pPr>
          </w:p>
        </w:tc>
        <w:tc>
          <w:tcPr>
            <w:tcW w:w="1357" w:type="dxa"/>
            <w:vAlign w:val="top"/>
          </w:tcPr>
          <w:p w14:paraId="44C01C5A">
            <w:pPr>
              <w:widowControl w:val="0"/>
              <w:jc w:val="both"/>
              <w:rPr>
                <w:rFonts w:hint="eastAsia" w:ascii="宋体" w:hAnsi="宋体" w:eastAsia="宋体" w:cs="宋体"/>
                <w:sz w:val="28"/>
                <w:szCs w:val="28"/>
                <w:vertAlign w:val="baseline"/>
                <w:lang w:val="en-US"/>
              </w:rPr>
            </w:pPr>
          </w:p>
        </w:tc>
        <w:tc>
          <w:tcPr>
            <w:tcW w:w="585" w:type="dxa"/>
            <w:vAlign w:val="top"/>
          </w:tcPr>
          <w:p w14:paraId="336D04E9">
            <w:pPr>
              <w:widowControl w:val="0"/>
              <w:jc w:val="center"/>
              <w:rPr>
                <w:rFonts w:hint="eastAsia" w:ascii="宋体" w:hAnsi="宋体" w:eastAsia="宋体" w:cs="宋体"/>
                <w:sz w:val="28"/>
                <w:szCs w:val="28"/>
                <w:vertAlign w:val="baseline"/>
                <w:lang w:val="en-US" w:eastAsia="zh-CN"/>
              </w:rPr>
            </w:pPr>
          </w:p>
        </w:tc>
        <w:tc>
          <w:tcPr>
            <w:tcW w:w="971" w:type="dxa"/>
          </w:tcPr>
          <w:p w14:paraId="585FFE66">
            <w:pPr>
              <w:widowControl w:val="0"/>
              <w:jc w:val="center"/>
              <w:rPr>
                <w:rFonts w:hint="eastAsia" w:ascii="宋体" w:hAnsi="宋体" w:eastAsia="宋体" w:cs="宋体"/>
                <w:sz w:val="28"/>
                <w:szCs w:val="28"/>
                <w:vertAlign w:val="baseline"/>
                <w:lang w:val="en-US" w:eastAsia="zh-CN"/>
              </w:rPr>
            </w:pPr>
          </w:p>
        </w:tc>
        <w:tc>
          <w:tcPr>
            <w:tcW w:w="1056" w:type="dxa"/>
          </w:tcPr>
          <w:p w14:paraId="54D923E5">
            <w:pPr>
              <w:widowControl w:val="0"/>
              <w:jc w:val="center"/>
              <w:rPr>
                <w:rFonts w:hint="eastAsia" w:ascii="宋体" w:hAnsi="宋体" w:eastAsia="宋体" w:cs="宋体"/>
                <w:sz w:val="28"/>
                <w:szCs w:val="28"/>
                <w:vertAlign w:val="baseline"/>
                <w:lang w:val="en-US" w:eastAsia="zh-CN"/>
              </w:rPr>
            </w:pPr>
          </w:p>
        </w:tc>
        <w:tc>
          <w:tcPr>
            <w:tcW w:w="1056" w:type="dxa"/>
          </w:tcPr>
          <w:p w14:paraId="46FEEAFE">
            <w:pPr>
              <w:widowControl w:val="0"/>
              <w:jc w:val="center"/>
              <w:rPr>
                <w:rFonts w:hint="eastAsia" w:ascii="宋体" w:hAnsi="宋体" w:eastAsia="宋体" w:cs="宋体"/>
                <w:sz w:val="28"/>
                <w:szCs w:val="28"/>
                <w:vertAlign w:val="baseline"/>
                <w:lang w:val="en-US" w:eastAsia="zh-CN"/>
              </w:rPr>
            </w:pPr>
          </w:p>
        </w:tc>
      </w:tr>
    </w:tbl>
    <w:p w14:paraId="62EFB056">
      <w:pPr>
        <w:rPr>
          <w:rFonts w:hint="eastAsia" w:ascii="宋体" w:hAnsi="宋体" w:eastAsia="宋体" w:cs="宋体"/>
        </w:rPr>
      </w:pPr>
    </w:p>
    <w:p w14:paraId="2D5FF09B">
      <w:pPr>
        <w:rPr>
          <w:rFonts w:hint="eastAsia" w:ascii="宋体" w:hAnsi="宋体" w:eastAsia="宋体" w:cs="宋体"/>
        </w:rPr>
      </w:pPr>
    </w:p>
    <w:p w14:paraId="6C6AD5F6">
      <w:pPr>
        <w:rPr>
          <w:rFonts w:hint="eastAsia" w:ascii="宋体" w:hAnsi="宋体" w:eastAsia="宋体" w:cs="宋体"/>
        </w:rPr>
      </w:pPr>
    </w:p>
    <w:p w14:paraId="51E633B7">
      <w:pPr>
        <w:rPr>
          <w:rFonts w:hint="eastAsia" w:ascii="宋体" w:hAnsi="宋体" w:eastAsia="宋体" w:cs="宋体"/>
        </w:rPr>
      </w:pPr>
    </w:p>
    <w:p w14:paraId="63FEB2A9">
      <w:pPr>
        <w:rPr>
          <w:rFonts w:hint="eastAsia" w:ascii="宋体" w:hAnsi="宋体" w:eastAsia="宋体" w:cs="宋体"/>
        </w:rPr>
      </w:pPr>
    </w:p>
    <w:p w14:paraId="60F05CAF">
      <w:pPr>
        <w:rPr>
          <w:rFonts w:hint="eastAsia" w:ascii="宋体" w:hAnsi="宋体" w:eastAsia="宋体" w:cs="宋体"/>
        </w:rPr>
      </w:pPr>
    </w:p>
    <w:p w14:paraId="4D5A6854">
      <w:pPr>
        <w:rPr>
          <w:rFonts w:hint="eastAsia" w:ascii="宋体" w:hAnsi="宋体" w:eastAsia="宋体" w:cs="宋体"/>
        </w:rPr>
      </w:pPr>
    </w:p>
    <w:p w14:paraId="2C6F178B">
      <w:pPr>
        <w:rPr>
          <w:rFonts w:hint="eastAsia" w:ascii="宋体" w:hAnsi="宋体" w:eastAsia="宋体" w:cs="宋体"/>
        </w:rPr>
      </w:pPr>
    </w:p>
    <w:p w14:paraId="6D3156B5">
      <w:pPr>
        <w:rPr>
          <w:rFonts w:hint="eastAsia" w:ascii="宋体" w:hAnsi="宋体" w:eastAsia="宋体" w:cs="宋体"/>
        </w:rPr>
      </w:pPr>
    </w:p>
    <w:p w14:paraId="4E339AF0">
      <w:pPr>
        <w:rPr>
          <w:rFonts w:hint="eastAsia" w:ascii="宋体" w:hAnsi="宋体" w:eastAsia="宋体" w:cs="宋体"/>
        </w:rPr>
      </w:pPr>
    </w:p>
    <w:p w14:paraId="5BC1D1A1">
      <w:pPr>
        <w:rPr>
          <w:rFonts w:hint="eastAsia" w:ascii="宋体" w:hAnsi="宋体" w:eastAsia="宋体" w:cs="宋体"/>
        </w:rPr>
      </w:pPr>
    </w:p>
    <w:p w14:paraId="2B74F0B6">
      <w:pPr>
        <w:rPr>
          <w:rFonts w:hint="eastAsia" w:ascii="宋体" w:hAnsi="宋体" w:eastAsia="宋体" w:cs="宋体"/>
        </w:rPr>
      </w:pPr>
    </w:p>
    <w:p w14:paraId="3085FDE8">
      <w:pPr>
        <w:rPr>
          <w:rFonts w:hint="eastAsia" w:ascii="宋体" w:hAnsi="宋体" w:eastAsia="宋体" w:cs="宋体"/>
        </w:rPr>
      </w:pPr>
    </w:p>
    <w:p w14:paraId="4FA1ECAA">
      <w:pPr>
        <w:rPr>
          <w:rFonts w:hint="eastAsia" w:ascii="宋体" w:hAnsi="宋体" w:eastAsia="宋体" w:cs="宋体"/>
        </w:rPr>
      </w:pPr>
    </w:p>
    <w:p w14:paraId="4A02329C">
      <w:pPr>
        <w:rPr>
          <w:rFonts w:hint="eastAsia" w:ascii="宋体" w:hAnsi="宋体" w:eastAsia="宋体" w:cs="宋体"/>
        </w:rPr>
      </w:pPr>
    </w:p>
    <w:p w14:paraId="507B836D">
      <w:pPr>
        <w:rPr>
          <w:rFonts w:hint="eastAsia" w:ascii="宋体" w:hAnsi="宋体" w:eastAsia="宋体" w:cs="宋体"/>
        </w:rPr>
      </w:pPr>
    </w:p>
    <w:p w14:paraId="2736D3A6">
      <w:pPr>
        <w:rPr>
          <w:rFonts w:hint="eastAsia" w:ascii="宋体" w:hAnsi="宋体" w:eastAsia="宋体" w:cs="宋体"/>
        </w:rPr>
      </w:pPr>
    </w:p>
    <w:p w14:paraId="0D538AEE">
      <w:pPr>
        <w:rPr>
          <w:rFonts w:hint="eastAsia" w:ascii="宋体" w:hAnsi="宋体" w:eastAsia="宋体" w:cs="宋体"/>
        </w:rPr>
      </w:pPr>
    </w:p>
    <w:p w14:paraId="6C2299FF">
      <w:pPr>
        <w:rPr>
          <w:rFonts w:hint="eastAsia" w:ascii="宋体" w:hAnsi="宋体" w:eastAsia="宋体" w:cs="宋体"/>
        </w:rPr>
      </w:pPr>
    </w:p>
    <w:p w14:paraId="5ADE03A9">
      <w:pPr>
        <w:rPr>
          <w:rFonts w:hint="eastAsia" w:ascii="宋体" w:hAnsi="宋体" w:eastAsia="宋体" w:cs="宋体"/>
        </w:rPr>
      </w:pPr>
    </w:p>
    <w:p w14:paraId="10B5D8DB">
      <w:pPr>
        <w:rPr>
          <w:rFonts w:hint="eastAsia" w:ascii="宋体" w:hAnsi="宋体" w:eastAsia="宋体" w:cs="宋体"/>
        </w:rPr>
      </w:pPr>
    </w:p>
    <w:p w14:paraId="2E731971">
      <w:pPr>
        <w:rPr>
          <w:rFonts w:hint="eastAsia" w:ascii="宋体" w:hAnsi="宋体" w:eastAsia="宋体" w:cs="宋体"/>
          <w:lang w:eastAsia="zh-CN"/>
        </w:rPr>
      </w:pPr>
      <w:r>
        <w:rPr>
          <w:rFonts w:hint="eastAsia" w:ascii="宋体" w:hAnsi="宋体" w:eastAsia="宋体" w:cs="宋体"/>
          <w:lang w:eastAsia="zh-CN"/>
        </w:rPr>
        <w:object>
          <v:shape id="_x0000_i1025" o:spt="75" type="#_x0000_t75" style="height:657pt;width:427.5pt;" o:ole="t" filled="f" o:preferrelative="t" stroked="f" coordsize="21600,21600">
            <v:path/>
            <v:fill on="f" focussize="0,0"/>
            <v:stroke on="f"/>
            <v:imagedata r:id="rId9" o:title=""/>
            <o:lock v:ext="edit" aspectratio="t"/>
            <w10:wrap type="none"/>
            <w10:anchorlock/>
          </v:shape>
          <o:OLEObject Type="Embed" ProgID="Word.Document.8" ShapeID="_x0000_i1025" DrawAspect="Content" ObjectID="_1468075725" r:id="rId8">
            <o:LockedField>false</o:LockedField>
          </o:OLEObject>
        </w:object>
      </w:r>
    </w:p>
    <w:p w14:paraId="0C7FA163">
      <w:pPr>
        <w:kinsoku/>
        <w:overflowPunct/>
        <w:topLinePunct w:val="0"/>
        <w:bidi w:val="0"/>
        <w:ind w:left="0" w:leftChars="0" w:firstLine="0" w:firstLineChars="0"/>
        <w:rPr>
          <w:rFonts w:hint="eastAsia" w:ascii="宋体" w:hAnsi="宋体" w:eastAsia="宋体" w:cs="宋体"/>
          <w:color w:val="auto"/>
        </w:rPr>
      </w:pPr>
    </w:p>
    <w:p w14:paraId="6340DE3A">
      <w:bookmarkStart w:id="0" w:name="_GoBack"/>
      <w:bookmarkEnd w:id="0"/>
    </w:p>
    <w:sectPr>
      <w:headerReference r:id="rId5" w:type="default"/>
      <w:footerReference r:id="rId6" w:type="default"/>
      <w:pgSz w:w="11900" w:h="16840"/>
      <w:pgMar w:top="1440" w:right="1800" w:bottom="1440" w:left="1800" w:header="0" w:footer="1134"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C786A">
    <w:pPr>
      <w:pStyle w:val="6"/>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3A9954">
                          <w:pPr>
                            <w:pStyle w:val="7"/>
                          </w:pPr>
                          <w:r>
                            <w:fldChar w:fldCharType="begin"/>
                          </w:r>
                          <w:r>
                            <w:instrText xml:space="preserve"> PAGE  \* MERGEFORMAT </w:instrText>
                          </w:r>
                          <w:r>
                            <w:fldChar w:fldCharType="separate"/>
                          </w:r>
                          <w:r>
                            <w:t>48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433A9954">
                    <w:pPr>
                      <w:pStyle w:val="7"/>
                    </w:pPr>
                    <w:r>
                      <w:fldChar w:fldCharType="begin"/>
                    </w:r>
                    <w:r>
                      <w:instrText xml:space="preserve"> PAGE  \* MERGEFORMAT </w:instrText>
                    </w:r>
                    <w:r>
                      <w:fldChar w:fldCharType="separate"/>
                    </w:r>
                    <w:r>
                      <w:t>48</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41CCC">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D87E52"/>
    <w:multiLevelType w:val="multilevel"/>
    <w:tmpl w:val="7ED87E52"/>
    <w:lvl w:ilvl="0" w:tentative="0">
      <w:start w:val="1"/>
      <w:numFmt w:val="none"/>
      <w:lvlText w:val="一、"/>
      <w:lvlJc w:val="left"/>
      <w:pPr>
        <w:tabs>
          <w:tab w:val="left" w:pos="420"/>
        </w:tabs>
        <w:ind w:left="420" w:hanging="420"/>
      </w:pPr>
      <w:rPr>
        <w:rFonts w:hint="default"/>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F876E3"/>
    <w:rsid w:val="08C37D22"/>
    <w:rsid w:val="116F3C27"/>
    <w:rsid w:val="1C70551C"/>
    <w:rsid w:val="1F385FE7"/>
    <w:rsid w:val="22EC54DD"/>
    <w:rsid w:val="24EC52FF"/>
    <w:rsid w:val="2D5E17C3"/>
    <w:rsid w:val="2E3158A3"/>
    <w:rsid w:val="39D90B67"/>
    <w:rsid w:val="4337786A"/>
    <w:rsid w:val="51D81084"/>
    <w:rsid w:val="58EF7DC7"/>
    <w:rsid w:val="5D4C08FD"/>
    <w:rsid w:val="62CE3357"/>
    <w:rsid w:val="68A551A4"/>
    <w:rsid w:val="719157DF"/>
    <w:rsid w:val="74554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link w:val="12"/>
    <w:qFormat/>
    <w:uiPriority w:val="0"/>
    <w:pPr>
      <w:keepNext/>
      <w:keepLines/>
      <w:spacing w:before="50" w:beforeLines="50" w:beforeAutospacing="0" w:after="50" w:afterLines="50" w:afterAutospacing="0" w:line="360" w:lineRule="auto"/>
      <w:jc w:val="center"/>
      <w:outlineLvl w:val="0"/>
    </w:pPr>
    <w:rPr>
      <w:rFonts w:ascii="Arial" w:hAnsi="Arial" w:eastAsia="宋体" w:cs="Arial"/>
      <w:b/>
      <w:snapToGrid w:val="0"/>
      <w:color w:val="000000"/>
      <w:kern w:val="44"/>
      <w:sz w:val="36"/>
      <w:szCs w:val="21"/>
    </w:rPr>
  </w:style>
  <w:style w:type="paragraph" w:styleId="3">
    <w:name w:val="heading 2"/>
    <w:basedOn w:val="1"/>
    <w:next w:val="1"/>
    <w:link w:val="14"/>
    <w:semiHidden/>
    <w:unhideWhenUsed/>
    <w:qFormat/>
    <w:uiPriority w:val="0"/>
    <w:pPr>
      <w:keepNext/>
      <w:keepLines/>
      <w:spacing w:before="260" w:beforeLines="0" w:beforeAutospacing="0" w:after="260" w:afterLines="0" w:afterAutospacing="0" w:line="360" w:lineRule="auto"/>
      <w:jc w:val="center"/>
      <w:outlineLvl w:val="1"/>
    </w:pPr>
    <w:rPr>
      <w:rFonts w:ascii="Arial" w:hAnsi="Arial" w:eastAsia="新宋体" w:cs="Arial"/>
      <w:b/>
      <w:sz w:val="28"/>
      <w:szCs w:val="21"/>
    </w:rPr>
  </w:style>
  <w:style w:type="paragraph" w:styleId="4">
    <w:name w:val="heading 3"/>
    <w:basedOn w:val="1"/>
    <w:next w:val="1"/>
    <w:semiHidden/>
    <w:unhideWhenUsed/>
    <w:qFormat/>
    <w:uiPriority w:val="0"/>
    <w:pPr>
      <w:keepNext/>
      <w:keepLines/>
      <w:spacing w:beforeLines="0" w:beforeAutospacing="0" w:afterLines="0" w:afterAutospacing="0" w:line="240" w:lineRule="auto"/>
      <w:jc w:val="center"/>
      <w:outlineLvl w:val="2"/>
    </w:pPr>
    <w:rPr>
      <w:rFonts w:ascii="仿宋" w:hAnsi="仿宋" w:eastAsia="宋体" w:cs="仿宋"/>
      <w:kern w:val="2"/>
      <w:sz w:val="28"/>
      <w:szCs w:val="22"/>
      <w:lang w:val="zh-CN" w:eastAsia="zh-CN" w:bidi="zh-CN"/>
    </w:rPr>
  </w:style>
  <w:style w:type="paragraph" w:styleId="5">
    <w:name w:val="heading 4"/>
    <w:basedOn w:val="1"/>
    <w:next w:val="1"/>
    <w:link w:val="13"/>
    <w:semiHidden/>
    <w:unhideWhenUsed/>
    <w:qFormat/>
    <w:uiPriority w:val="0"/>
    <w:pPr>
      <w:keepNext/>
      <w:keepLines/>
      <w:spacing w:beforeLines="0" w:beforeAutospacing="0" w:afterLines="0" w:afterAutospacing="0" w:line="240" w:lineRule="auto"/>
      <w:jc w:val="center"/>
      <w:outlineLvl w:val="3"/>
    </w:pPr>
    <w:rPr>
      <w:rFonts w:ascii="Arial" w:hAnsi="Arial" w:eastAsia="仿宋" w:cs="仿宋"/>
      <w:sz w:val="28"/>
      <w:szCs w:val="22"/>
      <w:lang w:val="zh-CN" w:eastAsia="zh-CN" w:bidi="zh-CN"/>
    </w:rPr>
  </w:style>
  <w:style w:type="character" w:default="1" w:styleId="11">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6">
    <w:name w:val="Body Text"/>
    <w:basedOn w:val="1"/>
    <w:qFormat/>
    <w:uiPriority w:val="0"/>
    <w:pPr>
      <w:spacing w:after="120" w:afterLines="0" w:afterAutospacing="0"/>
    </w:pPr>
  </w:style>
  <w:style w:type="paragraph" w:styleId="7">
    <w:name w:val="footer"/>
    <w:basedOn w:val="1"/>
    <w:qFormat/>
    <w:uiPriority w:val="99"/>
    <w:pPr>
      <w:tabs>
        <w:tab w:val="center" w:pos="4153"/>
        <w:tab w:val="right" w:pos="8306"/>
      </w:tabs>
      <w:snapToGrid w:val="0"/>
      <w:jc w:val="left"/>
    </w:pPr>
    <w:rPr>
      <w:kern w:val="0"/>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1 Char"/>
    <w:link w:val="2"/>
    <w:qFormat/>
    <w:uiPriority w:val="0"/>
    <w:rPr>
      <w:rFonts w:ascii="Arial" w:hAnsi="Arial" w:eastAsia="宋体" w:cs="Arial"/>
      <w:b/>
      <w:snapToGrid w:val="0"/>
      <w:color w:val="000000"/>
      <w:kern w:val="44"/>
      <w:sz w:val="36"/>
      <w:szCs w:val="21"/>
    </w:rPr>
  </w:style>
  <w:style w:type="character" w:customStyle="1" w:styleId="13">
    <w:name w:val="标题 4 Char"/>
    <w:link w:val="5"/>
    <w:uiPriority w:val="0"/>
    <w:rPr>
      <w:rFonts w:ascii="Arial" w:hAnsi="Arial" w:eastAsia="仿宋" w:cs="仿宋"/>
      <w:sz w:val="28"/>
      <w:szCs w:val="22"/>
      <w:lang w:val="zh-CN" w:eastAsia="zh-CN" w:bidi="zh-CN"/>
    </w:rPr>
  </w:style>
  <w:style w:type="character" w:customStyle="1" w:styleId="14">
    <w:name w:val="标题 2 Char"/>
    <w:link w:val="3"/>
    <w:qFormat/>
    <w:uiPriority w:val="0"/>
    <w:rPr>
      <w:rFonts w:ascii="Arial" w:hAnsi="Arial" w:eastAsia="宋体" w:cs="Arial"/>
      <w:kern w:val="2"/>
      <w:sz w:val="28"/>
      <w:szCs w:val="21"/>
      <w:lang w:val="en-US" w:eastAsia="zh-CN" w:bidi="ar-SA"/>
    </w:rPr>
  </w:style>
  <w:style w:type="paragraph" w:customStyle="1" w:styleId="1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2022-02-28T02:04:00Z</dcterms:created>
  <dc:creator>Administrator</dc:creator>
  <cp:lastModifiedBy>西北空隙</cp:lastModifiedBy>
  <dcterms:modified xsi:type="dcterms:W3CDTF">2026-04-16T01:46:23Z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AA8FEBE42CD944A79D9F38450D637980</vt:lpwstr>
  </property>
  <property fmtid="{D5CDD505-2E9C-101B-9397-08002B2CF9AE}" pid="4" name="KSOTemplateDocerSaveRecord">
    <vt:lpwstr>eyJoZGlkIjoiZWMwYTdiYmFhNDQwODk0YTU5MWY1NmY5Y2YwNDM3YjUiLCJ1c2VySWQiOiIxMzM0MDk2NDE0In0=</vt:lpwstr>
  </property>
</Properties>
</file>