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65B09">
      <w:pPr>
        <w:kinsoku/>
        <w:overflowPunct/>
        <w:topLinePunct w:val="0"/>
        <w:bidi w:val="0"/>
        <w:jc w:val="center"/>
        <w:outlineLvl w:val="1"/>
        <w:rPr>
          <w:rFonts w:hint="eastAsia" w:ascii="宋体" w:hAnsi="宋体" w:eastAsia="宋体" w:cs="宋体"/>
          <w:b/>
          <w:bCs/>
          <w:color w:val="auto"/>
          <w:sz w:val="36"/>
          <w:szCs w:val="36"/>
        </w:rPr>
      </w:pPr>
      <w:bookmarkStart w:id="0" w:name="_Toc23802"/>
      <w:bookmarkStart w:id="1" w:name="_Toc12685"/>
      <w:bookmarkStart w:id="2" w:name="_Toc20430"/>
      <w:bookmarkStart w:id="3" w:name="_Toc10026"/>
      <w:r>
        <w:rPr>
          <w:rFonts w:hint="eastAsia" w:ascii="宋体" w:hAnsi="宋体" w:eastAsia="宋体" w:cs="宋体"/>
          <w:b/>
          <w:bCs/>
          <w:color w:val="auto"/>
          <w:sz w:val="36"/>
          <w:szCs w:val="36"/>
        </w:rPr>
        <w:t>第</w:t>
      </w:r>
      <w:r>
        <w:rPr>
          <w:rFonts w:hint="eastAsia" w:ascii="宋体" w:hAnsi="宋体" w:eastAsia="宋体" w:cs="宋体"/>
          <w:b/>
          <w:bCs/>
          <w:color w:val="auto"/>
          <w:sz w:val="36"/>
          <w:szCs w:val="36"/>
          <w:lang w:eastAsia="zh-CN"/>
        </w:rPr>
        <w:t>八</w:t>
      </w:r>
      <w:r>
        <w:rPr>
          <w:rFonts w:hint="eastAsia" w:ascii="宋体" w:hAnsi="宋体" w:eastAsia="宋体" w:cs="宋体"/>
          <w:b/>
          <w:bCs/>
          <w:color w:val="auto"/>
          <w:sz w:val="36"/>
          <w:szCs w:val="36"/>
        </w:rPr>
        <w:t>部分供应商认为有必要说明的其他问题</w:t>
      </w:r>
      <w:bookmarkEnd w:id="0"/>
      <w:bookmarkEnd w:id="1"/>
      <w:bookmarkEnd w:id="2"/>
      <w:bookmarkEnd w:id="3"/>
    </w:p>
    <w:p w14:paraId="4341A8D4">
      <w:pPr>
        <w:kinsoku/>
        <w:overflowPunct/>
        <w:topLinePunct w:val="0"/>
        <w:bidi w:val="0"/>
        <w:rPr>
          <w:rFonts w:hint="eastAsia" w:ascii="宋体" w:hAnsi="宋体" w:eastAsia="宋体" w:cs="宋体"/>
          <w:color w:val="auto"/>
          <w:lang w:eastAsia="zh-CN"/>
        </w:rPr>
      </w:pPr>
    </w:p>
    <w:p w14:paraId="25AC0BF9">
      <w:pPr>
        <w:kinsoku/>
        <w:overflowPunct/>
        <w:topLinePunct w:val="0"/>
        <w:bidi w:val="0"/>
        <w:rPr>
          <w:rFonts w:hint="eastAsia" w:ascii="宋体" w:hAnsi="宋体" w:eastAsia="宋体" w:cs="宋体"/>
          <w:color w:val="auto"/>
        </w:rPr>
      </w:pPr>
    </w:p>
    <w:p w14:paraId="6A23273A">
      <w:pPr>
        <w:kinsoku/>
        <w:overflowPunct/>
        <w:topLinePunct w:val="0"/>
        <w:bidi w:val="0"/>
        <w:rPr>
          <w:rFonts w:hint="eastAsia" w:ascii="宋体" w:hAnsi="宋体" w:eastAsia="宋体" w:cs="宋体"/>
          <w:color w:val="auto"/>
        </w:rPr>
      </w:pPr>
    </w:p>
    <w:p w14:paraId="54252F42">
      <w:pPr>
        <w:jc w:val="center"/>
        <w:rPr>
          <w:rFonts w:hint="eastAsia" w:ascii="宋体" w:hAnsi="宋体" w:eastAsia="宋体" w:cs="宋体"/>
          <w:color w:val="auto"/>
          <w:highlight w:val="none"/>
        </w:rPr>
      </w:pPr>
      <w:r>
        <w:rPr>
          <w:rFonts w:hint="eastAsia" w:ascii="宋体" w:hAnsi="宋体" w:eastAsia="宋体" w:cs="宋体"/>
          <w:b/>
          <w:color w:val="auto"/>
          <w:sz w:val="28"/>
          <w:szCs w:val="28"/>
          <w:highlight w:val="none"/>
        </w:rPr>
        <w:t>投标人性质</w:t>
      </w:r>
    </w:p>
    <w:p w14:paraId="0C535A40">
      <w:pPr>
        <w:shd w:val="clear" w:color="auto" w:fill="auto"/>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中</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小/微型企业、残疾人福利性单位投标时，应提供声明函（按下文给定格式）。监狱企业投标时，应当提供由省级以上监狱管理局、戒毒管理局（含新疆生产建设兵团）出具的属于监狱企业的证明文件（格式不做要求）。</w:t>
      </w:r>
    </w:p>
    <w:p w14:paraId="3ACAFC66">
      <w:pPr>
        <w:pageBreakBefore w:val="0"/>
        <w:kinsoku/>
        <w:bidi w:val="0"/>
        <w:spacing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中小</w:t>
      </w:r>
      <w:r>
        <w:rPr>
          <w:rFonts w:hint="eastAsia" w:ascii="宋体" w:hAnsi="宋体" w:eastAsia="宋体" w:cs="宋体"/>
          <w:b/>
          <w:color w:val="auto"/>
          <w:sz w:val="24"/>
          <w:szCs w:val="24"/>
          <w:highlight w:val="none"/>
        </w:rPr>
        <w:t>企业声明函</w:t>
      </w:r>
    </w:p>
    <w:p w14:paraId="6D7A6C93">
      <w:pPr>
        <w:pageBreakBefore w:val="0"/>
        <w:kinsoku/>
        <w:bidi w:val="0"/>
        <w:spacing w:before="190" w:beforeLines="5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采购活动，服务全部由符合政策要求的</w:t>
      </w:r>
      <w:r>
        <w:rPr>
          <w:rFonts w:hint="eastAsia" w:ascii="宋体" w:hAnsi="宋体" w:eastAsia="宋体" w:cs="宋体"/>
          <w:color w:val="auto"/>
          <w:sz w:val="24"/>
          <w:szCs w:val="24"/>
          <w:highlight w:val="none"/>
          <w:lang w:val="en-US" w:eastAsia="zh-CN"/>
        </w:rPr>
        <w:t>中小</w:t>
      </w:r>
      <w:r>
        <w:rPr>
          <w:rFonts w:hint="eastAsia" w:ascii="宋体" w:hAnsi="宋体" w:eastAsia="宋体" w:cs="宋体"/>
          <w:color w:val="auto"/>
          <w:sz w:val="24"/>
          <w:szCs w:val="24"/>
          <w:highlight w:val="none"/>
        </w:rPr>
        <w:t>企业承接）。相关企业（含联合体中的</w:t>
      </w:r>
      <w:r>
        <w:rPr>
          <w:rFonts w:hint="eastAsia" w:ascii="宋体" w:hAnsi="宋体" w:eastAsia="宋体" w:cs="宋体"/>
          <w:color w:val="auto"/>
          <w:sz w:val="24"/>
          <w:szCs w:val="24"/>
          <w:highlight w:val="none"/>
          <w:lang w:eastAsia="zh-CN"/>
        </w:rPr>
        <w:t>中小企业</w:t>
      </w:r>
      <w:r>
        <w:rPr>
          <w:rFonts w:hint="eastAsia" w:ascii="宋体" w:hAnsi="宋体" w:eastAsia="宋体" w:cs="宋体"/>
          <w:color w:val="auto"/>
          <w:sz w:val="24"/>
          <w:szCs w:val="24"/>
          <w:highlight w:val="none"/>
        </w:rPr>
        <w:t>、签订分包意向协议的</w:t>
      </w:r>
      <w:r>
        <w:rPr>
          <w:rFonts w:hint="eastAsia" w:ascii="宋体" w:hAnsi="宋体" w:eastAsia="宋体" w:cs="宋体"/>
          <w:color w:val="auto"/>
          <w:sz w:val="24"/>
          <w:szCs w:val="24"/>
          <w:highlight w:val="none"/>
          <w:lang w:eastAsia="zh-CN"/>
        </w:rPr>
        <w:t>中小企业</w:t>
      </w:r>
      <w:r>
        <w:rPr>
          <w:rFonts w:hint="eastAsia" w:ascii="宋体" w:hAnsi="宋体" w:eastAsia="宋体" w:cs="宋体"/>
          <w:color w:val="auto"/>
          <w:sz w:val="24"/>
          <w:szCs w:val="24"/>
          <w:highlight w:val="none"/>
        </w:rPr>
        <w:t>）的具体情况如下：</w:t>
      </w:r>
    </w:p>
    <w:p w14:paraId="6C320479">
      <w:pPr>
        <w:keepNext w:val="0"/>
        <w:keepLines w:val="0"/>
        <w:pageBreakBefore w:val="0"/>
        <w:widowControl w:val="0"/>
        <w:kinsoku/>
        <w:wordWrap/>
        <w:overflowPunct/>
        <w:topLinePunct w:val="0"/>
        <w:autoSpaceDE/>
        <w:autoSpaceDN/>
        <w:bidi w:val="0"/>
        <w:adjustRightInd/>
        <w:snapToGrid/>
        <w:spacing w:before="190" w:beforeLines="50" w:line="24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 </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 xml:space="preserve"> ，属于（采购文件中明确的所属行业）；承接企业为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万元，属于（小型企业、微型企业）；</w:t>
      </w:r>
    </w:p>
    <w:p w14:paraId="396FC653">
      <w:pPr>
        <w:keepNext w:val="0"/>
        <w:keepLines w:val="0"/>
        <w:pageBreakBefore w:val="0"/>
        <w:widowControl w:val="0"/>
        <w:kinsoku/>
        <w:wordWrap/>
        <w:overflowPunct/>
        <w:topLinePunct w:val="0"/>
        <w:autoSpaceDE/>
        <w:autoSpaceDN/>
        <w:bidi w:val="0"/>
        <w:adjustRightInd/>
        <w:snapToGrid/>
        <w:spacing w:before="190" w:beforeLines="50" w:line="24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 </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 xml:space="preserve"> ，属于（采购文件中明确的所属行业）；承接企业为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万元，属于（小型企业、微型企业）；</w:t>
      </w:r>
    </w:p>
    <w:p w14:paraId="2FB5F2D9">
      <w:pPr>
        <w:keepNext w:val="0"/>
        <w:keepLines w:val="0"/>
        <w:pageBreakBefore w:val="0"/>
        <w:widowControl w:val="0"/>
        <w:kinsoku/>
        <w:wordWrap/>
        <w:overflowPunct/>
        <w:topLinePunct w:val="0"/>
        <w:autoSpaceDE/>
        <w:autoSpaceDN/>
        <w:bidi w:val="0"/>
        <w:adjustRightInd/>
        <w:snapToGrid/>
        <w:spacing w:before="190" w:beforeLines="50" w:line="24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47373407">
      <w:pPr>
        <w:keepNext w:val="0"/>
        <w:keepLines w:val="0"/>
        <w:pageBreakBefore w:val="0"/>
        <w:widowControl w:val="0"/>
        <w:kinsoku/>
        <w:wordWrap/>
        <w:overflowPunct/>
        <w:topLinePunct w:val="0"/>
        <w:autoSpaceDE/>
        <w:autoSpaceDN/>
        <w:bidi w:val="0"/>
        <w:adjustRightInd/>
        <w:snapToGrid/>
        <w:spacing w:before="190" w:beforeLines="50" w:line="24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以上企业，不属于大企业的分支机构，不存在控股股东为大企业的情形，也不存在与大企业的负责人为同一人的情形。</w:t>
      </w:r>
    </w:p>
    <w:p w14:paraId="77B7CC70">
      <w:pPr>
        <w:keepNext w:val="0"/>
        <w:keepLines w:val="0"/>
        <w:pageBreakBefore w:val="0"/>
        <w:widowControl w:val="0"/>
        <w:kinsoku/>
        <w:wordWrap/>
        <w:overflowPunct/>
        <w:topLinePunct w:val="0"/>
        <w:autoSpaceDE/>
        <w:autoSpaceDN/>
        <w:bidi w:val="0"/>
        <w:adjustRightInd/>
        <w:snapToGrid/>
        <w:spacing w:before="190" w:beforeLines="50" w:line="24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本企业对上述声明内容的真实性负责。如有虚假，将依法承担相应责任。</w:t>
      </w:r>
    </w:p>
    <w:p w14:paraId="03B419ED">
      <w:pPr>
        <w:keepNext w:val="0"/>
        <w:keepLines w:val="0"/>
        <w:pageBreakBefore w:val="0"/>
        <w:widowControl w:val="0"/>
        <w:kinsoku/>
        <w:wordWrap/>
        <w:overflowPunct/>
        <w:topLinePunct w:val="0"/>
        <w:autoSpaceDE/>
        <w:autoSpaceDN/>
        <w:bidi w:val="0"/>
        <w:adjustRightInd/>
        <w:snapToGrid/>
        <w:spacing w:before="190" w:beforeLines="50" w:line="24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pacing w:val="-10"/>
          <w:sz w:val="24"/>
          <w:szCs w:val="24"/>
          <w:highlight w:val="none"/>
          <w:u w:val="single"/>
          <w:lang w:eastAsia="zh-CN"/>
        </w:rPr>
        <w:t>供应商名称</w:t>
      </w:r>
      <w:r>
        <w:rPr>
          <w:rFonts w:hint="eastAsia" w:ascii="宋体" w:hAnsi="宋体" w:eastAsia="宋体" w:cs="宋体"/>
          <w:color w:val="auto"/>
          <w:sz w:val="24"/>
          <w:szCs w:val="24"/>
          <w:highlight w:val="none"/>
        </w:rPr>
        <w:t>（盖章）：</w:t>
      </w:r>
    </w:p>
    <w:p w14:paraId="4D5ABF80">
      <w:pPr>
        <w:keepNext w:val="0"/>
        <w:keepLines w:val="0"/>
        <w:pageBreakBefore w:val="0"/>
        <w:widowControl w:val="0"/>
        <w:kinsoku/>
        <w:wordWrap/>
        <w:overflowPunct/>
        <w:topLinePunct w:val="0"/>
        <w:autoSpaceDE/>
        <w:autoSpaceDN/>
        <w:bidi w:val="0"/>
        <w:adjustRightInd/>
        <w:snapToGrid/>
        <w:spacing w:before="190" w:beforeLines="50" w:line="24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日期：</w:t>
      </w:r>
    </w:p>
    <w:p w14:paraId="089277BA">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56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备注：1、从业人员、营业收入、资产总额填报上一年度数据，无上一年度数据的新成立企业可不填报。</w:t>
      </w:r>
    </w:p>
    <w:p w14:paraId="08BF0E52">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56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2、项目不分标段的，第___标段空白处填写“/”。</w:t>
      </w:r>
    </w:p>
    <w:p w14:paraId="53A740D5">
      <w:pPr>
        <w:pageBreakBefore w:val="0"/>
        <w:kinsoku/>
        <w:bidi w:val="0"/>
        <w:spacing w:before="190" w:beforeLines="50"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非</w:t>
      </w:r>
      <w:r>
        <w:rPr>
          <w:rFonts w:hint="eastAsia" w:ascii="宋体" w:hAnsi="宋体" w:eastAsia="宋体" w:cs="宋体"/>
          <w:color w:val="auto"/>
          <w:sz w:val="24"/>
          <w:szCs w:val="24"/>
          <w:highlight w:val="none"/>
          <w:lang w:eastAsia="zh-CN"/>
        </w:rPr>
        <w:t>中小企业</w:t>
      </w:r>
      <w:r>
        <w:rPr>
          <w:rFonts w:hint="eastAsia" w:ascii="宋体" w:hAnsi="宋体" w:eastAsia="宋体" w:cs="宋体"/>
          <w:color w:val="auto"/>
          <w:sz w:val="24"/>
          <w:szCs w:val="24"/>
          <w:highlight w:val="none"/>
        </w:rPr>
        <w:t>不填写此表。</w:t>
      </w:r>
      <w:bookmarkStart w:id="4" w:name="_Toc48834336"/>
    </w:p>
    <w:p w14:paraId="0F70299C">
      <w:pPr>
        <w:pageBreakBefore w:val="0"/>
        <w:kinsoku/>
        <w:bidi w:val="0"/>
        <w:spacing w:before="190" w:beforeLines="50" w:line="360" w:lineRule="auto"/>
        <w:jc w:val="center"/>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szCs w:val="24"/>
          <w:highlight w:val="none"/>
        </w:rPr>
        <w:t>残疾人福利性单位声明函</w:t>
      </w:r>
      <w:bookmarkEnd w:id="4"/>
    </w:p>
    <w:p w14:paraId="42D85B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（项目编号：）第___标段采购活动由本单位提供服务，或者提供其他残疾人福利性单位提供的服务。</w:t>
      </w:r>
    </w:p>
    <w:p w14:paraId="0B9073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21E65C43">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320" w:firstLineChars="1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pacing w:val="-10"/>
          <w:sz w:val="24"/>
          <w:szCs w:val="24"/>
          <w:highlight w:val="none"/>
          <w:u w:val="single"/>
          <w:lang w:eastAsia="zh-CN"/>
        </w:rPr>
        <w:t>供应商名称</w:t>
      </w:r>
      <w:r>
        <w:rPr>
          <w:rFonts w:hint="eastAsia" w:ascii="宋体" w:hAnsi="宋体" w:eastAsia="宋体" w:cs="宋体"/>
          <w:color w:val="auto"/>
          <w:sz w:val="24"/>
          <w:szCs w:val="24"/>
          <w:highlight w:val="none"/>
        </w:rPr>
        <w:t>（加盖公章）</w:t>
      </w:r>
    </w:p>
    <w:p w14:paraId="7E25F2B6">
      <w:pPr>
        <w:keepNext w:val="0"/>
        <w:keepLines w:val="0"/>
        <w:pageBreakBefore w:val="0"/>
        <w:widowControl w:val="0"/>
        <w:tabs>
          <w:tab w:val="left" w:pos="5670"/>
        </w:tabs>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14:paraId="476F5938">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566"/>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项目不分标段的，第___标段空白处填写“/”。</w:t>
      </w:r>
    </w:p>
    <w:p w14:paraId="37162094">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56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根据《财政部 民政部 中国残疾人联合会关于促进残疾人就业政府采购政策的通知》（财库〔2017〕141号）的规定：</w:t>
      </w:r>
    </w:p>
    <w:p w14:paraId="6A150FBC">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一、享受政府采购支持政策的残疾人福利性单位应当同时满足以下条件：</w:t>
      </w:r>
    </w:p>
    <w:p w14:paraId="26DD6CD5">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56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（一）安置的残疾人占本单位在职职工人数的比例不低于25%（含25%），并且安置的残疾人人数不少于10人（含10人）；</w:t>
      </w:r>
    </w:p>
    <w:p w14:paraId="3EAAE505">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56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（二）依法与安置的每位残疾人签订了一年以上（含一年）的劳动合同或服务协议；</w:t>
      </w:r>
    </w:p>
    <w:p w14:paraId="4DE04168">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56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（三）为安置的每位残疾人按月足额缴纳了基本养老保险、基本医疗保险、失业保险、工伤保险和生育保险等社会保险费；</w:t>
      </w:r>
    </w:p>
    <w:p w14:paraId="709B0490">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56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（四）通过银行等金融机构向安置的每位残疾人，按月支付了不低于单位所在区县适用的经省级人民政府批准的月最低工资标准的工资；</w:t>
      </w:r>
    </w:p>
    <w:p w14:paraId="651E6D57">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56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（五）提供本单位承担的服务（以下简称产品），或者提供其他残疾人福利性单位提供的服。</w:t>
      </w:r>
    </w:p>
    <w:p w14:paraId="6B52249A">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566"/>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56A41EE6">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二、中标、成交</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为残疾人福利性单位的，采购人或者其委托的采购代理机构应当随中标、成交结果同时公告其《残疾人福利性单位声明函》，接受社会监督。</w:t>
      </w:r>
    </w:p>
    <w:p w14:paraId="149D5534">
      <w:pPr>
        <w:pageBreakBefore w:val="0"/>
        <w:kinsoku/>
        <w:bidi w:val="0"/>
        <w:spacing w:before="190" w:beforeLines="50" w:line="360" w:lineRule="auto"/>
        <w:ind w:firstLine="480" w:firstLineChars="20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szCs w:val="24"/>
          <w:highlight w:val="none"/>
        </w:rPr>
        <w:t>监狱、戒毒企业声明函</w:t>
      </w:r>
    </w:p>
    <w:p w14:paraId="1A1FCF6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本单位郑重声明，根据《财政部 司法部 关于政府采购支持监狱企业发展有关问题的通知》（财库〔2014〕 68号）的规定，本单位为符合条件的监狱、戒毒企业，且本单位参加的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项目采购活动提供本单位制造的货物（由本单位承担工程/提供服务），或者提供其他监狱、戒毒企业制造的货物（不包括使用非监狱、戒毒企业注册商标的货物）。</w:t>
      </w:r>
    </w:p>
    <w:p w14:paraId="1CEA886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087A45AE">
      <w:pPr>
        <w:spacing w:line="360" w:lineRule="auto"/>
        <w:rPr>
          <w:rFonts w:hint="eastAsia" w:ascii="宋体" w:hAnsi="宋体" w:eastAsia="宋体" w:cs="宋体"/>
          <w:color w:val="auto"/>
          <w:sz w:val="24"/>
          <w:szCs w:val="24"/>
          <w:highlight w:val="none"/>
        </w:rPr>
      </w:pPr>
    </w:p>
    <w:p w14:paraId="30A5452C">
      <w:pPr>
        <w:spacing w:line="360" w:lineRule="auto"/>
        <w:rPr>
          <w:rFonts w:hint="eastAsia" w:ascii="宋体" w:hAnsi="宋体" w:eastAsia="宋体" w:cs="宋体"/>
          <w:color w:val="auto"/>
          <w:sz w:val="24"/>
          <w:szCs w:val="24"/>
          <w:highlight w:val="none"/>
        </w:rPr>
      </w:pPr>
    </w:p>
    <w:p w14:paraId="2416CDD6">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320" w:firstLineChars="1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pacing w:val="-10"/>
          <w:sz w:val="24"/>
          <w:szCs w:val="24"/>
          <w:highlight w:val="none"/>
          <w:u w:val="single"/>
          <w:lang w:eastAsia="zh-CN"/>
        </w:rPr>
        <w:t>供应商名称</w:t>
      </w:r>
      <w:r>
        <w:rPr>
          <w:rFonts w:hint="eastAsia" w:ascii="宋体" w:hAnsi="宋体" w:eastAsia="宋体" w:cs="宋体"/>
          <w:color w:val="auto"/>
          <w:sz w:val="24"/>
          <w:szCs w:val="24"/>
          <w:highlight w:val="none"/>
        </w:rPr>
        <w:t>（加盖公章）</w:t>
      </w:r>
    </w:p>
    <w:p w14:paraId="6A55DE4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14:paraId="0D468B8D">
      <w:pPr>
        <w:spacing w:line="360" w:lineRule="auto"/>
        <w:rPr>
          <w:rFonts w:hint="eastAsia" w:ascii="宋体" w:hAnsi="宋体" w:eastAsia="宋体" w:cs="宋体"/>
          <w:color w:val="auto"/>
          <w:sz w:val="24"/>
          <w:szCs w:val="24"/>
          <w:highlight w:val="none"/>
        </w:rPr>
      </w:pPr>
    </w:p>
    <w:p w14:paraId="1778AB40">
      <w:pPr>
        <w:spacing w:line="360" w:lineRule="auto"/>
        <w:rPr>
          <w:rFonts w:hint="eastAsia" w:ascii="宋体" w:hAnsi="宋体" w:eastAsia="宋体" w:cs="宋体"/>
          <w:color w:val="auto"/>
          <w:sz w:val="24"/>
          <w:szCs w:val="24"/>
          <w:highlight w:val="none"/>
        </w:rPr>
      </w:pPr>
    </w:p>
    <w:p w14:paraId="5986B112">
      <w:pPr>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备注：未按上述要求提供、填写的，评审时不予以考虑。投标人提供的《监狱、戒毒企业声明函》必须真实有效，投标人应当提供由省级以上监狱管理局、戒毒管理局(含新疆生产建设兵团</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出具的属于监狱企业的证明文件。</w:t>
      </w:r>
    </w:p>
    <w:p w14:paraId="1C52472D">
      <w:bookmarkStart w:id="5" w:name="_GoBack"/>
      <w:bookmarkEnd w:id="5"/>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F876E3"/>
    <w:rsid w:val="08C37D22"/>
    <w:rsid w:val="116F3C27"/>
    <w:rsid w:val="11C24F65"/>
    <w:rsid w:val="1C70551C"/>
    <w:rsid w:val="1F385FE7"/>
    <w:rsid w:val="22EC54DD"/>
    <w:rsid w:val="24EC52FF"/>
    <w:rsid w:val="2D5E17C3"/>
    <w:rsid w:val="2E3158A3"/>
    <w:rsid w:val="39D90B67"/>
    <w:rsid w:val="4337786A"/>
    <w:rsid w:val="51D81084"/>
    <w:rsid w:val="58EF7DC7"/>
    <w:rsid w:val="5D4C08FD"/>
    <w:rsid w:val="68A551A4"/>
    <w:rsid w:val="719157DF"/>
    <w:rsid w:val="74554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9"/>
    <w:qFormat/>
    <w:uiPriority w:val="0"/>
    <w:pPr>
      <w:keepNext/>
      <w:keepLines/>
      <w:spacing w:before="50" w:beforeLines="50" w:beforeAutospacing="0" w:after="50" w:afterLines="50" w:afterAutospacing="0" w:line="360" w:lineRule="auto"/>
      <w:jc w:val="center"/>
      <w:outlineLvl w:val="0"/>
    </w:pPr>
    <w:rPr>
      <w:rFonts w:ascii="Arial" w:hAnsi="Arial" w:eastAsia="宋体" w:cs="Arial"/>
      <w:b/>
      <w:snapToGrid w:val="0"/>
      <w:color w:val="000000"/>
      <w:kern w:val="44"/>
      <w:sz w:val="36"/>
      <w:szCs w:val="21"/>
    </w:rPr>
  </w:style>
  <w:style w:type="paragraph" w:styleId="3">
    <w:name w:val="heading 2"/>
    <w:basedOn w:val="1"/>
    <w:next w:val="1"/>
    <w:link w:val="11"/>
    <w:semiHidden/>
    <w:unhideWhenUsed/>
    <w:qFormat/>
    <w:uiPriority w:val="0"/>
    <w:pPr>
      <w:keepNext/>
      <w:keepLines/>
      <w:spacing w:before="260" w:beforeLines="0" w:beforeAutospacing="0" w:after="260" w:afterLines="0" w:afterAutospacing="0" w:line="360" w:lineRule="auto"/>
      <w:jc w:val="center"/>
      <w:outlineLvl w:val="1"/>
    </w:pPr>
    <w:rPr>
      <w:rFonts w:ascii="Arial" w:hAnsi="Arial" w:eastAsia="新宋体" w:cs="Arial"/>
      <w:b/>
      <w:sz w:val="28"/>
      <w:szCs w:val="21"/>
    </w:rPr>
  </w:style>
  <w:style w:type="paragraph" w:styleId="4">
    <w:name w:val="heading 3"/>
    <w:basedOn w:val="1"/>
    <w:next w:val="1"/>
    <w:semiHidden/>
    <w:unhideWhenUsed/>
    <w:qFormat/>
    <w:uiPriority w:val="0"/>
    <w:pPr>
      <w:keepNext/>
      <w:keepLines/>
      <w:spacing w:beforeLines="0" w:beforeAutospacing="0" w:afterLines="0" w:afterAutospacing="0" w:line="240" w:lineRule="auto"/>
      <w:jc w:val="center"/>
      <w:outlineLvl w:val="2"/>
    </w:pPr>
    <w:rPr>
      <w:rFonts w:ascii="仿宋" w:hAnsi="仿宋" w:eastAsia="宋体" w:cs="仿宋"/>
      <w:kern w:val="2"/>
      <w:sz w:val="28"/>
      <w:szCs w:val="22"/>
      <w:lang w:val="zh-CN" w:eastAsia="zh-CN" w:bidi="zh-CN"/>
    </w:rPr>
  </w:style>
  <w:style w:type="paragraph" w:styleId="5">
    <w:name w:val="heading 4"/>
    <w:basedOn w:val="1"/>
    <w:next w:val="1"/>
    <w:link w:val="10"/>
    <w:semiHidden/>
    <w:unhideWhenUsed/>
    <w:qFormat/>
    <w:uiPriority w:val="0"/>
    <w:pPr>
      <w:keepNext/>
      <w:keepLines/>
      <w:spacing w:beforeLines="0" w:beforeAutospacing="0" w:afterLines="0" w:afterAutospacing="0" w:line="240" w:lineRule="auto"/>
      <w:jc w:val="center"/>
      <w:outlineLvl w:val="3"/>
    </w:pPr>
    <w:rPr>
      <w:rFonts w:ascii="Arial" w:hAnsi="Arial" w:eastAsia="仿宋" w:cs="仿宋"/>
      <w:sz w:val="28"/>
      <w:szCs w:val="22"/>
      <w:lang w:val="zh-CN" w:eastAsia="zh-CN" w:bidi="zh-CN"/>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6">
    <w:name w:val="Body Text"/>
    <w:basedOn w:val="1"/>
    <w:qFormat/>
    <w:uiPriority w:val="0"/>
    <w:pPr>
      <w:spacing w:after="120" w:afterLines="0" w:afterAutospacing="0"/>
    </w:pPr>
  </w:style>
  <w:style w:type="character" w:customStyle="1" w:styleId="9">
    <w:name w:val="标题 1 Char"/>
    <w:link w:val="2"/>
    <w:qFormat/>
    <w:uiPriority w:val="0"/>
    <w:rPr>
      <w:rFonts w:ascii="Arial" w:hAnsi="Arial" w:eastAsia="宋体" w:cs="Arial"/>
      <w:b/>
      <w:snapToGrid w:val="0"/>
      <w:color w:val="000000"/>
      <w:kern w:val="44"/>
      <w:sz w:val="36"/>
      <w:szCs w:val="21"/>
    </w:rPr>
  </w:style>
  <w:style w:type="character" w:customStyle="1" w:styleId="10">
    <w:name w:val="标题 4 Char"/>
    <w:link w:val="5"/>
    <w:qFormat/>
    <w:uiPriority w:val="0"/>
    <w:rPr>
      <w:rFonts w:ascii="Arial" w:hAnsi="Arial" w:eastAsia="仿宋" w:cs="仿宋"/>
      <w:sz w:val="28"/>
      <w:szCs w:val="22"/>
      <w:lang w:val="zh-CN" w:eastAsia="zh-CN" w:bidi="zh-CN"/>
    </w:rPr>
  </w:style>
  <w:style w:type="character" w:customStyle="1" w:styleId="11">
    <w:name w:val="标题 2 Char"/>
    <w:link w:val="3"/>
    <w:qFormat/>
    <w:uiPriority w:val="0"/>
    <w:rPr>
      <w:rFonts w:ascii="Arial" w:hAnsi="Arial" w:eastAsia="宋体" w:cs="Arial"/>
      <w:kern w:val="2"/>
      <w:sz w:val="28"/>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2022-02-28T02:04:00Z</dcterms:created>
  <dc:creator>Administrator</dc:creator>
  <cp:lastModifiedBy>西北空隙</cp:lastModifiedBy>
  <dcterms:modified xsi:type="dcterms:W3CDTF">2026-04-16T01:46:00Z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AA8FEBE42CD944A79D9F38450D637980</vt:lpwstr>
  </property>
  <property fmtid="{D5CDD505-2E9C-101B-9397-08002B2CF9AE}" pid="4" name="KSOTemplateDocerSaveRecord">
    <vt:lpwstr>eyJoZGlkIjoiZWMwYTdiYmFhNDQwODk0YTU5MWY1NmY5Y2YwNDM3YjUiLCJ1c2VySWQiOiIxMzM0MDk2NDE0In0=</vt:lpwstr>
  </property>
</Properties>
</file>