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版本号：KY2026-1-33720260416001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全国市场监管行政执法办案系统维保项目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KY2026-1-337</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全国市场监管行政执法办案系统维保项目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KY2026-1-337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全国市场监管行政执法办案系统维保项目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陕西省市场监督管理局全国市场监管行政执法办案系统维保项目，1项，具体内容详见采购文件第三章。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4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7、法定代表人授权书：法定代表人授权书及被授权人身份证明。（法定代表人直接磋商只须提交其身份证明）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采购包1：482,300.00元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银行账号：86113010750181502001076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交费金额参照国家计委颁布的《招标代理服务收费管理暂行办法》（计价格[2002]1980号）及发改办价格[2003]857号文件的规定标准执行，不足陆仟元按陆仟元收取。 2、本项目代理服务费按服务计取。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联系人：温虎、韩婷</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陕西省市场监督管理局全国市场监管行政执法办案系统维保项目，具体详见项目需求。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482,300.00</w:t>
      </w:r>
    </w:p>
    <w:p>
      <w:pPr>
        <w:pStyle w:val="null3"/>
      </w:pPr>
      <w:r>
        <w:rPr>
          <w:rFonts w:ascii="仿宋_GB2312" w:hAnsi="仿宋_GB2312" w:cs="仿宋_GB2312" w:eastAsia="仿宋_GB2312"/>
        </w:rPr>
        <w:t>采购包最高限价（元）: 482,300.00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全国市场监管行政执法办案系统维保项目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482,300.00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标的名称：全国市场监管行政执法办案系统维保项目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64"/>
            </w:tblGrid>
            <w:tr>
              <w:tc>
                <w:tcPr>
                  <w:tcW w:type="dxa" w:w="2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一、项目概况</w:t>
                  </w:r>
                </w:p>
                <w:p>
                  <w:pPr>
                    <w:pStyle w:val="null3"/>
                    <w:jc w:val="both"/>
                  </w:pP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、运维目标</w:t>
                  </w:r>
                </w:p>
                <w:p>
                  <w:pPr>
                    <w:pStyle w:val="null3"/>
                    <w:ind w:firstLine="480"/>
                    <w:jc w:val="both"/>
                  </w:pPr>
                  <w:r>
                    <w:rPr>
                      <w:rFonts w:ascii="仿宋_GB2312" w:hAnsi="仿宋_GB2312" w:cs="仿宋_GB2312" w:eastAsia="仿宋_GB2312"/>
                      <w:sz w:val="24"/>
                      <w:color w:val="000000"/>
                    </w:rPr>
                    <w:t>确保系统</w:t>
                  </w:r>
                  <w:r>
                    <w:rPr>
                      <w:rFonts w:ascii="仿宋_GB2312" w:hAnsi="仿宋_GB2312" w:cs="仿宋_GB2312" w:eastAsia="仿宋_GB2312"/>
                      <w:sz w:val="24"/>
                      <w:color w:val="000000"/>
                    </w:rPr>
                    <w:t>7*24</w:t>
                  </w:r>
                  <w:r>
                    <w:rPr>
                      <w:rFonts w:ascii="仿宋_GB2312" w:hAnsi="仿宋_GB2312" w:cs="仿宋_GB2312" w:eastAsia="仿宋_GB2312"/>
                      <w:sz w:val="24"/>
                      <w:color w:val="000000"/>
                    </w:rPr>
                    <w:t>小时稳定运行，且制定切实可行运维保障体系，一但系统出现故障，保证在最快的时间内排障。保障系统正常运行，不影响客户使用。</w:t>
                  </w:r>
                </w:p>
                <w:p>
                  <w:pPr>
                    <w:pStyle w:val="null3"/>
                    <w:ind w:firstLine="480"/>
                    <w:jc w:val="both"/>
                  </w:pPr>
                  <w:r>
                    <w:rPr>
                      <w:rFonts w:ascii="仿宋_GB2312" w:hAnsi="仿宋_GB2312" w:cs="仿宋_GB2312" w:eastAsia="仿宋_GB2312"/>
                      <w:sz w:val="24"/>
                      <w:color w:val="000000"/>
                    </w:rPr>
                    <w:t>同时派驻现场服务人员，提供应急响应、应急保障服务及重要时刻专项保障、业务咨询、培训等服务。</w:t>
                  </w:r>
                </w:p>
                <w:p>
                  <w:pPr>
                    <w:pStyle w:val="null3"/>
                    <w:ind w:firstLine="480"/>
                    <w:jc w:val="both"/>
                  </w:pPr>
                  <w:r>
                    <w:rPr>
                      <w:rFonts w:ascii="仿宋_GB2312" w:hAnsi="仿宋_GB2312" w:cs="仿宋_GB2312" w:eastAsia="仿宋_GB2312"/>
                      <w:sz w:val="24"/>
                      <w:color w:val="000000"/>
                    </w:rPr>
                    <w:t>具体需达到的目标如下：</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系统可用性：</w:t>
                  </w:r>
                  <w:r>
                    <w:rPr>
                      <w:rFonts w:ascii="仿宋_GB2312" w:hAnsi="仿宋_GB2312" w:cs="仿宋_GB2312" w:eastAsia="仿宋_GB2312"/>
                      <w:sz w:val="24"/>
                      <w:color w:val="000000"/>
                    </w:rPr>
                    <w:t>99.99%</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用户满意度：</w:t>
                  </w:r>
                  <w:r>
                    <w:rPr>
                      <w:rFonts w:ascii="仿宋_GB2312" w:hAnsi="仿宋_GB2312" w:cs="仿宋_GB2312" w:eastAsia="仿宋_GB2312"/>
                      <w:sz w:val="24"/>
                      <w:color w:val="000000"/>
                    </w:rPr>
                    <w:t>90%</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故障处理时间要求：详见表</w:t>
                  </w: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p>
                <w:p>
                  <w:pPr>
                    <w:pStyle w:val="null3"/>
                    <w:ind w:firstLine="480"/>
                    <w:jc w:val="center"/>
                  </w:pPr>
                  <w:r>
                    <w:rPr>
                      <w:rFonts w:ascii="仿宋_GB2312" w:hAnsi="仿宋_GB2312" w:cs="仿宋_GB2312" w:eastAsia="仿宋_GB2312"/>
                      <w:sz w:val="24"/>
                      <w:color w:val="000000"/>
                    </w:rPr>
                    <w:t>表</w:t>
                  </w:r>
                  <w:r>
                    <w:rPr>
                      <w:rFonts w:ascii="仿宋_GB2312" w:hAnsi="仿宋_GB2312" w:cs="仿宋_GB2312" w:eastAsia="仿宋_GB2312"/>
                      <w:sz w:val="24"/>
                      <w:color w:val="000000"/>
                    </w:rPr>
                    <w:t>1-1</w:t>
                  </w:r>
                  <w:r>
                    <w:rPr>
                      <w:rFonts w:ascii="仿宋_GB2312" w:hAnsi="仿宋_GB2312" w:cs="仿宋_GB2312" w:eastAsia="仿宋_GB2312"/>
                      <w:sz w:val="24"/>
                      <w:color w:val="000000"/>
                    </w:rPr>
                    <w:t>故障处理时间要求</w:t>
                  </w:r>
                </w:p>
                <w:tbl>
                  <w:tblPr>
                    <w:tblBorders>
                      <w:top w:val="none" w:color="000000" w:sz="4"/>
                      <w:left w:val="none" w:color="000000" w:sz="4"/>
                      <w:bottom w:val="none" w:color="000000" w:sz="4"/>
                      <w:right w:val="none" w:color="000000" w:sz="4"/>
                      <w:insideH w:val="none"/>
                      <w:insideV w:val="none"/>
                    </w:tblBorders>
                  </w:tblPr>
                  <w:tblGrid>
                    <w:gridCol w:w="366"/>
                    <w:gridCol w:w="380"/>
                    <w:gridCol w:w="551"/>
                    <w:gridCol w:w="651"/>
                  </w:tblGrid>
                  <w:tr>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故障级别</w:t>
                        </w:r>
                      </w:p>
                    </w:tc>
                    <w:tc>
                      <w:tcPr>
                        <w:tcW w:type="dxa" w:w="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远程响应</w:t>
                        </w:r>
                      </w:p>
                    </w:tc>
                    <w:tc>
                      <w:tcPr>
                        <w:tcW w:type="dxa" w:w="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现场响应</w:t>
                        </w:r>
                      </w:p>
                    </w:tc>
                    <w:tc>
                      <w:tcPr>
                        <w:tcW w:type="dxa" w:w="6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故障解决时间</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普通故障</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立即响应</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2小时内到现场</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到达现场后</w:t>
                        </w:r>
                        <w:r>
                          <w:rPr>
                            <w:rFonts w:ascii="仿宋_GB2312" w:hAnsi="仿宋_GB2312" w:cs="仿宋_GB2312" w:eastAsia="仿宋_GB2312"/>
                            <w:sz w:val="24"/>
                            <w:color w:val="000000"/>
                          </w:rPr>
                          <w:t>&lt;3小时</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重大故障</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立即响应</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1小时内到现场</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到达现场后</w:t>
                        </w:r>
                        <w:r>
                          <w:rPr>
                            <w:rFonts w:ascii="仿宋_GB2312" w:hAnsi="仿宋_GB2312" w:cs="仿宋_GB2312" w:eastAsia="仿宋_GB2312"/>
                            <w:sz w:val="24"/>
                            <w:color w:val="000000"/>
                          </w:rPr>
                          <w:t>&lt;2小时</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特大故障</w:t>
                        </w:r>
                      </w:p>
                    </w:tc>
                    <w:tc>
                      <w:tcPr>
                        <w:tcW w:type="dxa" w:w="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立即响应</w:t>
                        </w:r>
                      </w:p>
                    </w:tc>
                    <w:tc>
                      <w:tcPr>
                        <w:tcW w:type="dxa" w:w="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30分钟内到现场</w:t>
                        </w:r>
                      </w:p>
                    </w:tc>
                    <w:tc>
                      <w:tcPr>
                        <w:tcW w:type="dxa" w:w="6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到达现场后</w:t>
                        </w:r>
                        <w:r>
                          <w:rPr>
                            <w:rFonts w:ascii="仿宋_GB2312" w:hAnsi="仿宋_GB2312" w:cs="仿宋_GB2312" w:eastAsia="仿宋_GB2312"/>
                            <w:sz w:val="24"/>
                            <w:color w:val="000000"/>
                          </w:rPr>
                          <w:t>&lt;1小时</w:t>
                        </w:r>
                      </w:p>
                    </w:tc>
                  </w:tr>
                </w:tbl>
                <w:p>
                  <w:pPr>
                    <w:pStyle w:val="null3"/>
                    <w:jc w:val="both"/>
                  </w:pPr>
                  <w:r>
                    <w:rPr>
                      <w:rFonts w:ascii="仿宋_GB2312" w:hAnsi="仿宋_GB2312" w:cs="仿宋_GB2312" w:eastAsia="仿宋_GB2312"/>
                      <w:sz w:val="24"/>
                      <w:b/>
                      <w:color w:val="000000"/>
                    </w:rPr>
                    <w:t>1.2、运维范围及周期</w:t>
                  </w:r>
                </w:p>
                <w:p>
                  <w:pPr>
                    <w:pStyle w:val="null3"/>
                    <w:jc w:val="both"/>
                  </w:pPr>
                  <w:r>
                    <w:rPr>
                      <w:rFonts w:ascii="仿宋_GB2312" w:hAnsi="仿宋_GB2312" w:cs="仿宋_GB2312" w:eastAsia="仿宋_GB2312"/>
                      <w:sz w:val="24"/>
                      <w:b/>
                      <w:color w:val="000000"/>
                    </w:rPr>
                    <w:t>1.2.1</w:t>
                  </w:r>
                  <w:r>
                    <w:rPr>
                      <w:rFonts w:ascii="仿宋_GB2312" w:hAnsi="仿宋_GB2312" w:cs="仿宋_GB2312" w:eastAsia="仿宋_GB2312"/>
                      <w:sz w:val="24"/>
                      <w:b/>
                      <w:color w:val="000000"/>
                    </w:rPr>
                    <w:t>、运维范围</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软件运维</w:t>
                  </w:r>
                </w:p>
                <w:p>
                  <w:pPr>
                    <w:pStyle w:val="null3"/>
                    <w:ind w:firstLine="480"/>
                    <w:jc w:val="both"/>
                  </w:pPr>
                  <w:r>
                    <w:rPr>
                      <w:rFonts w:ascii="仿宋_GB2312" w:hAnsi="仿宋_GB2312" w:cs="仿宋_GB2312" w:eastAsia="仿宋_GB2312"/>
                      <w:sz w:val="24"/>
                      <w:color w:val="000000"/>
                    </w:rPr>
                    <w:t>为全国市场监管行政执法办案系统提供整体运维工作，运维工作内容包括：定期巡检、日常维护、补丁更新、故障检测修复、远程技术支持、应急响应等运维服务</w:t>
                  </w:r>
                  <w:r>
                    <w:rPr>
                      <w:rFonts w:ascii="仿宋_GB2312" w:hAnsi="仿宋_GB2312" w:cs="仿宋_GB2312" w:eastAsia="仿宋_GB2312"/>
                      <w:sz w:val="24"/>
                      <w:color w:val="000000"/>
                    </w:rPr>
                    <w:t>,</w:t>
                  </w:r>
                  <w:r>
                    <w:rPr>
                      <w:rFonts w:ascii="仿宋_GB2312" w:hAnsi="仿宋_GB2312" w:cs="仿宋_GB2312" w:eastAsia="仿宋_GB2312"/>
                      <w:sz w:val="24"/>
                      <w:color w:val="000000"/>
                    </w:rPr>
                    <w:t>保障系统的稳定运行。</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其他运维服务</w:t>
                  </w:r>
                </w:p>
                <w:p>
                  <w:pPr>
                    <w:pStyle w:val="null3"/>
                    <w:ind w:firstLine="480"/>
                    <w:jc w:val="both"/>
                  </w:pPr>
                  <w:r>
                    <w:rPr>
                      <w:rFonts w:ascii="仿宋_GB2312" w:hAnsi="仿宋_GB2312" w:cs="仿宋_GB2312" w:eastAsia="仿宋_GB2312"/>
                      <w:sz w:val="24"/>
                      <w:color w:val="000000"/>
                    </w:rPr>
                    <w:t>派驻现场运维人员</w:t>
                  </w:r>
                  <w:r>
                    <w:rPr>
                      <w:rFonts w:ascii="仿宋_GB2312" w:hAnsi="仿宋_GB2312" w:cs="仿宋_GB2312" w:eastAsia="仿宋_GB2312"/>
                      <w:sz w:val="24"/>
                      <w:color w:val="000000"/>
                    </w:rPr>
                    <w:t>2</w:t>
                  </w:r>
                  <w:r>
                    <w:rPr>
                      <w:rFonts w:ascii="仿宋_GB2312" w:hAnsi="仿宋_GB2312" w:cs="仿宋_GB2312" w:eastAsia="仿宋_GB2312"/>
                      <w:sz w:val="24"/>
                      <w:color w:val="000000"/>
                    </w:rPr>
                    <w:t>名，做好重要时刻专项保障、系统运行系统运行状态监控及预警、性能监控及优化、系统重新部署及调试、业务咨询、业务数据备份、备份测试、重大活动运维服务保障、系统升级、配置管理、运维文档管理、应急保障、培训等服务。</w:t>
                  </w:r>
                </w:p>
                <w:p>
                  <w:pPr>
                    <w:pStyle w:val="null3"/>
                    <w:jc w:val="both"/>
                  </w:pPr>
                  <w:r>
                    <w:rPr>
                      <w:rFonts w:ascii="仿宋_GB2312" w:hAnsi="仿宋_GB2312" w:cs="仿宋_GB2312" w:eastAsia="仿宋_GB2312"/>
                      <w:sz w:val="24"/>
                      <w:b/>
                      <w:color w:val="000000"/>
                    </w:rPr>
                    <w:t>1.2.2、运维周期</w:t>
                  </w:r>
                </w:p>
                <w:p>
                  <w:pPr>
                    <w:pStyle w:val="null3"/>
                    <w:ind w:firstLine="480"/>
                    <w:jc w:val="both"/>
                  </w:pPr>
                  <w:r>
                    <w:rPr>
                      <w:rFonts w:ascii="仿宋_GB2312" w:hAnsi="仿宋_GB2312" w:cs="仿宋_GB2312" w:eastAsia="仿宋_GB2312"/>
                      <w:sz w:val="24"/>
                      <w:color w:val="000000"/>
                    </w:rPr>
                    <w:t>1年</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8"/>
                      <w:b/>
                      <w:color w:val="000000"/>
                    </w:rPr>
                    <w:t>二、软件运维内容及要求</w:t>
                  </w:r>
                </w:p>
                <w:p>
                  <w:pPr>
                    <w:pStyle w:val="null3"/>
                    <w:jc w:val="both"/>
                  </w:pPr>
                  <w:r>
                    <w:rPr>
                      <w:rFonts w:ascii="仿宋_GB2312" w:hAnsi="仿宋_GB2312" w:cs="仿宋_GB2312" w:eastAsia="仿宋_GB2312"/>
                      <w:sz w:val="24"/>
                      <w:b/>
                      <w:color w:val="000000"/>
                    </w:rPr>
                    <w:t>2.1、运维服务要求</w:t>
                  </w:r>
                </w:p>
                <w:p>
                  <w:pPr>
                    <w:pStyle w:val="null3"/>
                    <w:ind w:firstLine="480"/>
                    <w:jc w:val="both"/>
                  </w:pPr>
                  <w:r>
                    <w:rPr>
                      <w:rFonts w:ascii="仿宋_GB2312" w:hAnsi="仿宋_GB2312" w:cs="仿宋_GB2312" w:eastAsia="仿宋_GB2312"/>
                      <w:sz w:val="24"/>
                      <w:color w:val="000000"/>
                    </w:rPr>
                    <w:t>保障应用系统稳定运行，一旦出现故障，遵循以下服务级别要求：</w:t>
                  </w:r>
                </w:p>
                <w:tbl>
                  <w:tblPr>
                    <w:tblBorders>
                      <w:top w:val="none" w:color="000000" w:sz="4"/>
                      <w:left w:val="none" w:color="000000" w:sz="4"/>
                      <w:bottom w:val="none" w:color="000000" w:sz="4"/>
                      <w:right w:val="none" w:color="000000" w:sz="4"/>
                      <w:insideH w:val="none"/>
                      <w:insideV w:val="none"/>
                    </w:tblBorders>
                  </w:tblPr>
                  <w:tblGrid>
                    <w:gridCol w:w="369"/>
                    <w:gridCol w:w="401"/>
                    <w:gridCol w:w="559"/>
                    <w:gridCol w:w="619"/>
                  </w:tblGrid>
                  <w:tr>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故障级别</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远程响应</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现场响应</w:t>
                        </w:r>
                      </w:p>
                    </w:tc>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firstLine="422"/>
                          <w:jc w:val="center"/>
                        </w:pPr>
                        <w:r>
                          <w:rPr>
                            <w:rFonts w:ascii="仿宋_GB2312" w:hAnsi="仿宋_GB2312" w:cs="仿宋_GB2312" w:eastAsia="仿宋_GB2312"/>
                            <w:sz w:val="24"/>
                            <w:b/>
                            <w:color w:val="000000"/>
                          </w:rPr>
                          <w:t>故障解决时间</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普通故障</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立即响应</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2小时内到现场</w:t>
                        </w: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到达现场后</w:t>
                        </w:r>
                        <w:r>
                          <w:rPr>
                            <w:rFonts w:ascii="仿宋_GB2312" w:hAnsi="仿宋_GB2312" w:cs="仿宋_GB2312" w:eastAsia="仿宋_GB2312"/>
                            <w:sz w:val="24"/>
                            <w:color w:val="000000"/>
                          </w:rPr>
                          <w:t>&lt;3小时</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重大故障</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立即响应</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1小时内到现场</w:t>
                        </w: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到达现场后</w:t>
                        </w:r>
                        <w:r>
                          <w:rPr>
                            <w:rFonts w:ascii="仿宋_GB2312" w:hAnsi="仿宋_GB2312" w:cs="仿宋_GB2312" w:eastAsia="仿宋_GB2312"/>
                            <w:sz w:val="24"/>
                            <w:color w:val="000000"/>
                          </w:rPr>
                          <w:t>&lt;2小时</w:t>
                        </w:r>
                      </w:p>
                    </w:tc>
                  </w:tr>
                  <w:tr>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特大故障</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立即响应</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30分钟内到现场</w:t>
                        </w:r>
                      </w:p>
                    </w:tc>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到达现场后</w:t>
                        </w:r>
                        <w:r>
                          <w:rPr>
                            <w:rFonts w:ascii="仿宋_GB2312" w:hAnsi="仿宋_GB2312" w:cs="仿宋_GB2312" w:eastAsia="仿宋_GB2312"/>
                            <w:sz w:val="24"/>
                            <w:color w:val="000000"/>
                          </w:rPr>
                          <w:t>&lt;1小时</w:t>
                        </w:r>
                      </w:p>
                    </w:tc>
                  </w:tr>
                </w:tbl>
                <w:p>
                  <w:pPr>
                    <w:pStyle w:val="null3"/>
                    <w:ind w:firstLine="480"/>
                    <w:jc w:val="both"/>
                  </w:pPr>
                  <w:r>
                    <w:rPr>
                      <w:rFonts w:ascii="仿宋_GB2312" w:hAnsi="仿宋_GB2312" w:cs="仿宋_GB2312" w:eastAsia="仿宋_GB2312"/>
                      <w:sz w:val="24"/>
                      <w:color w:val="000000"/>
                    </w:rPr>
                    <w:t>服务方式包括现场服务、电话技术支持服务、远程技术支持服务、应急响应服务等，同时，建立应急响应机制和运维服务满意度评价机制。</w:t>
                  </w:r>
                </w:p>
                <w:p>
                  <w:pPr>
                    <w:pStyle w:val="null3"/>
                    <w:jc w:val="both"/>
                  </w:pPr>
                  <w:r>
                    <w:rPr>
                      <w:rFonts w:ascii="仿宋_GB2312" w:hAnsi="仿宋_GB2312" w:cs="仿宋_GB2312" w:eastAsia="仿宋_GB2312"/>
                      <w:sz w:val="24"/>
                      <w:b/>
                      <w:color w:val="000000"/>
                    </w:rPr>
                    <w:t>2.2、软件运维服务</w:t>
                  </w:r>
                </w:p>
                <w:p>
                  <w:pPr>
                    <w:pStyle w:val="null3"/>
                    <w:jc w:val="both"/>
                  </w:pPr>
                  <w:r>
                    <w:rPr>
                      <w:rFonts w:ascii="仿宋_GB2312" w:hAnsi="仿宋_GB2312" w:cs="仿宋_GB2312" w:eastAsia="仿宋_GB2312"/>
                      <w:sz w:val="24"/>
                      <w:b/>
                      <w:color w:val="000000"/>
                    </w:rPr>
                    <w:t>2.2.1、运维服务内容</w:t>
                  </w:r>
                </w:p>
                <w:p>
                  <w:pPr>
                    <w:pStyle w:val="null3"/>
                    <w:ind w:firstLine="480"/>
                    <w:jc w:val="both"/>
                  </w:pPr>
                  <w:r>
                    <w:rPr>
                      <w:rFonts w:ascii="仿宋_GB2312" w:hAnsi="仿宋_GB2312" w:cs="仿宋_GB2312" w:eastAsia="仿宋_GB2312"/>
                      <w:sz w:val="24"/>
                      <w:color w:val="000000"/>
                    </w:rPr>
                    <w:t>本项目为全国市场监管行政执法办案系统提供为期一年的软件系统运维工作及服务，包括定期巡检、日常维护、补丁更新、故障检测修复、远程技术支持、应急响应等运维服务</w:t>
                  </w:r>
                  <w:r>
                    <w:rPr>
                      <w:rFonts w:ascii="仿宋_GB2312" w:hAnsi="仿宋_GB2312" w:cs="仿宋_GB2312" w:eastAsia="仿宋_GB2312"/>
                      <w:sz w:val="24"/>
                      <w:color w:val="000000"/>
                    </w:rPr>
                    <w:t>,保障系统的稳定运行</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2.2.1.1、定期巡检</w:t>
                  </w:r>
                </w:p>
                <w:p>
                  <w:pPr>
                    <w:pStyle w:val="null3"/>
                    <w:ind w:firstLine="480"/>
                    <w:jc w:val="both"/>
                  </w:pPr>
                  <w:r>
                    <w:rPr>
                      <w:rFonts w:ascii="仿宋_GB2312" w:hAnsi="仿宋_GB2312" w:cs="仿宋_GB2312" w:eastAsia="仿宋_GB2312"/>
                      <w:sz w:val="24"/>
                      <w:color w:val="000000"/>
                    </w:rPr>
                    <w:t>对全国市场监管行政执法办案系统提供定期巡检工作，包括每个工作日上班前对系统进行巡检，及时发现和处理系统运行过程中存在的问题，并对巡检形成记录，出具系统定期巡检报告。</w:t>
                  </w:r>
                </w:p>
                <w:p>
                  <w:pPr>
                    <w:pStyle w:val="null3"/>
                    <w:jc w:val="both"/>
                  </w:pPr>
                  <w:r>
                    <w:rPr>
                      <w:rFonts w:ascii="仿宋_GB2312" w:hAnsi="仿宋_GB2312" w:cs="仿宋_GB2312" w:eastAsia="仿宋_GB2312"/>
                      <w:sz w:val="24"/>
                      <w:b/>
                      <w:color w:val="000000"/>
                    </w:rPr>
                    <w:t>2.2.1.2、日常维护</w:t>
                  </w:r>
                </w:p>
                <w:p>
                  <w:pPr>
                    <w:pStyle w:val="null3"/>
                    <w:ind w:firstLine="480"/>
                    <w:jc w:val="both"/>
                  </w:pPr>
                  <w:r>
                    <w:rPr>
                      <w:rFonts w:ascii="仿宋_GB2312" w:hAnsi="仿宋_GB2312" w:cs="仿宋_GB2312" w:eastAsia="仿宋_GB2312"/>
                      <w:sz w:val="24"/>
                      <w:color w:val="000000"/>
                    </w:rPr>
                    <w:t>保障全国市场监管行政执法办案系统的高效运行提供日常运行维护服务。</w:t>
                  </w:r>
                </w:p>
                <w:p>
                  <w:pPr>
                    <w:pStyle w:val="null3"/>
                    <w:jc w:val="both"/>
                  </w:pPr>
                  <w:r>
                    <w:rPr>
                      <w:rFonts w:ascii="仿宋_GB2312" w:hAnsi="仿宋_GB2312" w:cs="仿宋_GB2312" w:eastAsia="仿宋_GB2312"/>
                      <w:sz w:val="24"/>
                      <w:b/>
                      <w:color w:val="000000"/>
                    </w:rPr>
                    <w:t>2.2.1.3、补丁更新</w:t>
                  </w:r>
                </w:p>
                <w:p>
                  <w:pPr>
                    <w:pStyle w:val="null3"/>
                    <w:ind w:firstLine="480"/>
                    <w:jc w:val="both"/>
                  </w:pPr>
                  <w:r>
                    <w:rPr>
                      <w:rFonts w:ascii="仿宋_GB2312" w:hAnsi="仿宋_GB2312" w:cs="仿宋_GB2312" w:eastAsia="仿宋_GB2312"/>
                      <w:sz w:val="24"/>
                      <w:color w:val="000000"/>
                    </w:rPr>
                    <w:t>对系统及运维环境（数据库、中间件、操作系统等）的安全补丁、功能修复补丁进行更新，并对更新补丁进行联调、测试，保障执法办案信息化支撑的有效运行</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2.2.1.4、故障检测修复</w:t>
                  </w:r>
                </w:p>
                <w:p>
                  <w:pPr>
                    <w:pStyle w:val="null3"/>
                    <w:ind w:firstLine="480"/>
                    <w:jc w:val="both"/>
                  </w:pPr>
                  <w:r>
                    <w:rPr>
                      <w:rFonts w:ascii="仿宋_GB2312" w:hAnsi="仿宋_GB2312" w:cs="仿宋_GB2312" w:eastAsia="仿宋_GB2312"/>
                      <w:sz w:val="24"/>
                      <w:color w:val="000000"/>
                    </w:rPr>
                    <w:t>提供对全国市场监管行政执法办案系统的故障检测修复服务，在系统运行期间，需及时获取及发现系统故障，快速响应并制定处理措施，快速进行修复，满足业务运行要求</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2.2.1.5、远程技术支持</w:t>
                  </w:r>
                </w:p>
                <w:p>
                  <w:pPr>
                    <w:pStyle w:val="null3"/>
                    <w:ind w:firstLine="480"/>
                    <w:jc w:val="both"/>
                  </w:pPr>
                  <w:r>
                    <w:rPr>
                      <w:rFonts w:ascii="仿宋_GB2312" w:hAnsi="仿宋_GB2312" w:cs="仿宋_GB2312" w:eastAsia="仿宋_GB2312"/>
                      <w:sz w:val="24"/>
                      <w:color w:val="000000"/>
                    </w:rPr>
                    <w:t>针对现场运维服务人员无法解决的问题，由运维服务商提供高级技术专家进行远程技术支持，通过现场服务结合远程技术支持的方式保障系统稳定运行</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2.2.1.6、应急响应</w:t>
                  </w:r>
                </w:p>
                <w:p>
                  <w:pPr>
                    <w:pStyle w:val="null3"/>
                    <w:ind w:firstLine="480"/>
                    <w:jc w:val="both"/>
                  </w:pPr>
                  <w:r>
                    <w:rPr>
                      <w:rFonts w:ascii="仿宋_GB2312" w:hAnsi="仿宋_GB2312" w:cs="仿宋_GB2312" w:eastAsia="仿宋_GB2312"/>
                      <w:sz w:val="24"/>
                      <w:color w:val="000000"/>
                    </w:rPr>
                    <w:t>充分考虑系统运行维护过程中可能发生的各种不确定因素，防范风险，制定合理的应急响应工作策略，明确风险等级、响应方式，实现各类运行风险的合理处置</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2.3、其他运维服务</w:t>
                  </w:r>
                </w:p>
                <w:p>
                  <w:pPr>
                    <w:pStyle w:val="null3"/>
                    <w:jc w:val="both"/>
                  </w:pPr>
                  <w:r>
                    <w:rPr>
                      <w:rFonts w:ascii="仿宋_GB2312" w:hAnsi="仿宋_GB2312" w:cs="仿宋_GB2312" w:eastAsia="仿宋_GB2312"/>
                      <w:sz w:val="24"/>
                      <w:b/>
                      <w:color w:val="000000"/>
                    </w:rPr>
                    <w:t>2.3.1、驻场运维</w:t>
                  </w:r>
                </w:p>
                <w:p>
                  <w:pPr>
                    <w:pStyle w:val="null3"/>
                    <w:ind w:firstLine="480"/>
                    <w:jc w:val="both"/>
                  </w:pPr>
                  <w:r>
                    <w:rPr>
                      <w:rFonts w:ascii="仿宋_GB2312" w:hAnsi="仿宋_GB2312" w:cs="仿宋_GB2312" w:eastAsia="仿宋_GB2312"/>
                      <w:sz w:val="24"/>
                      <w:color w:val="000000"/>
                    </w:rPr>
                    <w:t>本项目在服务期内需驻陕西省市场监督管理局运维工程师</w:t>
                  </w:r>
                  <w:r>
                    <w:rPr>
                      <w:rFonts w:ascii="仿宋_GB2312" w:hAnsi="仿宋_GB2312" w:cs="仿宋_GB2312" w:eastAsia="仿宋_GB2312"/>
                      <w:sz w:val="24"/>
                      <w:color w:val="000000"/>
                    </w:rPr>
                    <w:t>2名，熟悉陕西省市场监督管理局全国市场监管行政执法办案系统的业务流程，并熟悉系统的功能、维护、故障处理等工作内容。</w:t>
                  </w:r>
                </w:p>
                <w:p>
                  <w:pPr>
                    <w:pStyle w:val="null3"/>
                    <w:jc w:val="both"/>
                  </w:pPr>
                  <w:r>
                    <w:rPr>
                      <w:rFonts w:ascii="仿宋_GB2312" w:hAnsi="仿宋_GB2312" w:cs="仿宋_GB2312" w:eastAsia="仿宋_GB2312"/>
                      <w:sz w:val="24"/>
                      <w:b/>
                      <w:color w:val="000000"/>
                    </w:rPr>
                    <w:t>2.3.2、系统运行状态监控及预警</w:t>
                  </w:r>
                </w:p>
                <w:p>
                  <w:pPr>
                    <w:pStyle w:val="null3"/>
                    <w:ind w:firstLine="480"/>
                    <w:jc w:val="both"/>
                  </w:pPr>
                  <w:r>
                    <w:rPr>
                      <w:rFonts w:ascii="仿宋_GB2312" w:hAnsi="仿宋_GB2312" w:cs="仿宋_GB2312" w:eastAsia="仿宋_GB2312"/>
                      <w:sz w:val="24"/>
                      <w:color w:val="000000"/>
                    </w:rPr>
                    <w:t>提供对全国市场监管行政执法办案系统运行环境及运行状态的检查与监测服务，包括系统日常运行监测和数据库运行监测等。</w:t>
                  </w:r>
                </w:p>
                <w:p>
                  <w:pPr>
                    <w:pStyle w:val="null3"/>
                    <w:jc w:val="both"/>
                  </w:pPr>
                  <w:r>
                    <w:rPr>
                      <w:rFonts w:ascii="仿宋_GB2312" w:hAnsi="仿宋_GB2312" w:cs="仿宋_GB2312" w:eastAsia="仿宋_GB2312"/>
                      <w:sz w:val="24"/>
                      <w:b/>
                      <w:color w:val="000000"/>
                    </w:rPr>
                    <w:t>2.3.3、性能监控及优化</w:t>
                  </w:r>
                </w:p>
                <w:p>
                  <w:pPr>
                    <w:pStyle w:val="null3"/>
                    <w:ind w:firstLine="480"/>
                    <w:jc w:val="both"/>
                  </w:pPr>
                  <w:r>
                    <w:rPr>
                      <w:rFonts w:ascii="仿宋_GB2312" w:hAnsi="仿宋_GB2312" w:cs="仿宋_GB2312" w:eastAsia="仿宋_GB2312"/>
                      <w:sz w:val="24"/>
                      <w:color w:val="000000"/>
                    </w:rPr>
                    <w:t>结合系统对业务支撑情况的变化对系统进行改进，包括应用性能优化、配置优化、影响业务开展的功能问题优化等。</w:t>
                  </w:r>
                </w:p>
                <w:p>
                  <w:pPr>
                    <w:pStyle w:val="null3"/>
                    <w:jc w:val="both"/>
                  </w:pPr>
                  <w:r>
                    <w:rPr>
                      <w:rFonts w:ascii="仿宋_GB2312" w:hAnsi="仿宋_GB2312" w:cs="仿宋_GB2312" w:eastAsia="仿宋_GB2312"/>
                      <w:sz w:val="24"/>
                      <w:b/>
                      <w:color w:val="000000"/>
                    </w:rPr>
                    <w:t>2.3.4、系统重新部署及调试</w:t>
                  </w:r>
                </w:p>
                <w:p>
                  <w:pPr>
                    <w:pStyle w:val="null3"/>
                    <w:ind w:firstLine="480"/>
                    <w:jc w:val="both"/>
                  </w:pPr>
                  <w:r>
                    <w:rPr>
                      <w:rFonts w:ascii="仿宋_GB2312" w:hAnsi="仿宋_GB2312" w:cs="仿宋_GB2312" w:eastAsia="仿宋_GB2312"/>
                      <w:sz w:val="24"/>
                      <w:color w:val="000000"/>
                    </w:rPr>
                    <w:t>结合国家市场监管总局全国统一市场监管执法办案系统版本发布，提供对全国市场监管行政执法办案系统更新版本内容的部署，并基于陕西省定制应用、数据对接应用等进行调试，保障系统更新部署后系统高效、稳定运行。服务期内因工作需要提供重新部署、调试等服务。</w:t>
                  </w:r>
                </w:p>
                <w:p>
                  <w:pPr>
                    <w:pStyle w:val="null3"/>
                    <w:jc w:val="both"/>
                  </w:pPr>
                  <w:r>
                    <w:rPr>
                      <w:rFonts w:ascii="仿宋_GB2312" w:hAnsi="仿宋_GB2312" w:cs="仿宋_GB2312" w:eastAsia="仿宋_GB2312"/>
                      <w:sz w:val="24"/>
                      <w:b/>
                      <w:color w:val="000000"/>
                    </w:rPr>
                    <w:t>2.3.5、业务咨询</w:t>
                  </w:r>
                </w:p>
                <w:p>
                  <w:pPr>
                    <w:pStyle w:val="null3"/>
                    <w:ind w:firstLine="480"/>
                    <w:jc w:val="both"/>
                  </w:pPr>
                  <w:r>
                    <w:rPr>
                      <w:rFonts w:ascii="仿宋_GB2312" w:hAnsi="仿宋_GB2312" w:cs="仿宋_GB2312" w:eastAsia="仿宋_GB2312"/>
                      <w:sz w:val="24"/>
                      <w:color w:val="000000"/>
                    </w:rPr>
                    <w:t>提供对全国市场监管行政执法办案系统技术支持工作，提供系统使用问题咨询与解答、访问情况报告。</w:t>
                  </w:r>
                </w:p>
                <w:p>
                  <w:pPr>
                    <w:pStyle w:val="null3"/>
                    <w:jc w:val="both"/>
                  </w:pPr>
                  <w:r>
                    <w:rPr>
                      <w:rFonts w:ascii="仿宋_GB2312" w:hAnsi="仿宋_GB2312" w:cs="仿宋_GB2312" w:eastAsia="仿宋_GB2312"/>
                      <w:sz w:val="24"/>
                      <w:b/>
                      <w:color w:val="000000"/>
                    </w:rPr>
                    <w:t>2.3.6、业务数据备份</w:t>
                  </w:r>
                </w:p>
                <w:p>
                  <w:pPr>
                    <w:pStyle w:val="null3"/>
                    <w:ind w:firstLine="480"/>
                    <w:jc w:val="both"/>
                  </w:pPr>
                  <w:r>
                    <w:rPr>
                      <w:rFonts w:ascii="仿宋_GB2312" w:hAnsi="仿宋_GB2312" w:cs="仿宋_GB2312" w:eastAsia="仿宋_GB2312"/>
                      <w:sz w:val="24"/>
                      <w:color w:val="000000"/>
                    </w:rPr>
                    <w:t>结合全国市场监管行政执法办案系统应用实际制定系统备份策略，每天定时业务数据的日常备份，运维人员每天对数据库备份情况进行一次检查，并将结果记录到巡检报告中，发现异常情况及时处理。</w:t>
                  </w:r>
                </w:p>
                <w:p>
                  <w:pPr>
                    <w:pStyle w:val="null3"/>
                    <w:jc w:val="both"/>
                  </w:pPr>
                  <w:r>
                    <w:rPr>
                      <w:rFonts w:ascii="仿宋_GB2312" w:hAnsi="仿宋_GB2312" w:cs="仿宋_GB2312" w:eastAsia="仿宋_GB2312"/>
                      <w:sz w:val="24"/>
                      <w:b/>
                      <w:color w:val="000000"/>
                    </w:rPr>
                    <w:t>2.3.7、备份测试</w:t>
                  </w:r>
                </w:p>
                <w:p>
                  <w:pPr>
                    <w:pStyle w:val="null3"/>
                    <w:ind w:firstLine="480"/>
                    <w:jc w:val="both"/>
                  </w:pPr>
                  <w:r>
                    <w:rPr>
                      <w:rFonts w:ascii="仿宋_GB2312" w:hAnsi="仿宋_GB2312" w:cs="仿宋_GB2312" w:eastAsia="仿宋_GB2312"/>
                      <w:sz w:val="24"/>
                      <w:color w:val="000000"/>
                    </w:rPr>
                    <w:t>运维人员定期对备份内容进行检查，并对备份内容定期进行备份数据恢复测试。</w:t>
                  </w:r>
                </w:p>
                <w:p>
                  <w:pPr>
                    <w:pStyle w:val="null3"/>
                    <w:jc w:val="both"/>
                  </w:pPr>
                  <w:r>
                    <w:rPr>
                      <w:rFonts w:ascii="仿宋_GB2312" w:hAnsi="仿宋_GB2312" w:cs="仿宋_GB2312" w:eastAsia="仿宋_GB2312"/>
                      <w:sz w:val="24"/>
                      <w:b/>
                      <w:color w:val="000000"/>
                    </w:rPr>
                    <w:t>2.3.8、重大活动运维服务保障</w:t>
                  </w:r>
                </w:p>
                <w:p>
                  <w:pPr>
                    <w:pStyle w:val="null3"/>
                    <w:ind w:firstLine="480"/>
                    <w:jc w:val="both"/>
                  </w:pPr>
                  <w:r>
                    <w:rPr>
                      <w:rFonts w:ascii="仿宋_GB2312" w:hAnsi="仿宋_GB2312" w:cs="仿宋_GB2312" w:eastAsia="仿宋_GB2312"/>
                      <w:sz w:val="24"/>
                      <w:color w:val="000000"/>
                    </w:rPr>
                    <w:t>在节假日及重大活动期间安排人员值守，包括：春节放假期间、国庆放假期间、两会期间、其他重大会议</w:t>
                  </w:r>
                  <w:r>
                    <w:rPr>
                      <w:rFonts w:ascii="仿宋_GB2312" w:hAnsi="仿宋_GB2312" w:cs="仿宋_GB2312" w:eastAsia="仿宋_GB2312"/>
                      <w:sz w:val="24"/>
                      <w:color w:val="000000"/>
                    </w:rPr>
                    <w:t>/活动及突发安全事件期间。</w:t>
                  </w:r>
                </w:p>
                <w:p>
                  <w:pPr>
                    <w:pStyle w:val="null3"/>
                    <w:jc w:val="both"/>
                  </w:pPr>
                  <w:r>
                    <w:rPr>
                      <w:rFonts w:ascii="仿宋_GB2312" w:hAnsi="仿宋_GB2312" w:cs="仿宋_GB2312" w:eastAsia="仿宋_GB2312"/>
                      <w:sz w:val="24"/>
                      <w:b/>
                      <w:color w:val="000000"/>
                    </w:rPr>
                    <w:t>2.3.9、系统升级</w:t>
                  </w:r>
                </w:p>
                <w:p>
                  <w:pPr>
                    <w:pStyle w:val="null3"/>
                    <w:ind w:firstLine="480"/>
                    <w:jc w:val="both"/>
                  </w:pPr>
                  <w:r>
                    <w:rPr>
                      <w:rFonts w:ascii="仿宋_GB2312" w:hAnsi="仿宋_GB2312" w:cs="仿宋_GB2312" w:eastAsia="仿宋_GB2312"/>
                      <w:sz w:val="24"/>
                      <w:color w:val="000000"/>
                    </w:rPr>
                    <w:t>基于国家市场监管总局针对全国统一市场监管执法办案系统的升级应用，及时对全国市场监管行政执法办案系统及其运行环境进行升级应用更新，并对升级内容进行联调、测试，保障执法办案信息化支撑的有效运行。</w:t>
                  </w:r>
                </w:p>
                <w:p>
                  <w:pPr>
                    <w:pStyle w:val="null3"/>
                    <w:jc w:val="both"/>
                  </w:pPr>
                  <w:r>
                    <w:rPr>
                      <w:rFonts w:ascii="仿宋_GB2312" w:hAnsi="仿宋_GB2312" w:cs="仿宋_GB2312" w:eastAsia="仿宋_GB2312"/>
                      <w:sz w:val="24"/>
                      <w:b/>
                      <w:color w:val="000000"/>
                    </w:rPr>
                    <w:t>2.3.10、配置管理</w:t>
                  </w:r>
                </w:p>
                <w:p>
                  <w:pPr>
                    <w:pStyle w:val="null3"/>
                    <w:ind w:firstLine="480"/>
                    <w:jc w:val="both"/>
                  </w:pPr>
                  <w:r>
                    <w:rPr>
                      <w:rFonts w:ascii="仿宋_GB2312" w:hAnsi="仿宋_GB2312" w:cs="仿宋_GB2312" w:eastAsia="仿宋_GB2312"/>
                      <w:sz w:val="24"/>
                      <w:color w:val="000000"/>
                    </w:rPr>
                    <w:t>及时更新应用系统的配置信息，确保资产信息准确</w:t>
                  </w:r>
                </w:p>
                <w:p>
                  <w:pPr>
                    <w:pStyle w:val="null3"/>
                    <w:jc w:val="both"/>
                  </w:pPr>
                  <w:r>
                    <w:rPr>
                      <w:rFonts w:ascii="仿宋_GB2312" w:hAnsi="仿宋_GB2312" w:cs="仿宋_GB2312" w:eastAsia="仿宋_GB2312"/>
                      <w:sz w:val="24"/>
                      <w:b/>
                      <w:color w:val="000000"/>
                    </w:rPr>
                    <w:t>2.3.11、运维文档管理</w:t>
                  </w:r>
                </w:p>
                <w:p>
                  <w:pPr>
                    <w:pStyle w:val="null3"/>
                    <w:ind w:firstLine="480"/>
                    <w:jc w:val="both"/>
                  </w:pPr>
                  <w:r>
                    <w:rPr>
                      <w:rFonts w:ascii="仿宋_GB2312" w:hAnsi="仿宋_GB2312" w:cs="仿宋_GB2312" w:eastAsia="仿宋_GB2312"/>
                      <w:sz w:val="24"/>
                      <w:color w:val="000000"/>
                    </w:rPr>
                    <w:t>及时做好运维过程文档的管理，包括《巡检记录表》、《故障处理报告》、《设备保养记录》等，确保运维过程的可追溯。</w:t>
                  </w:r>
                </w:p>
                <w:p>
                  <w:pPr>
                    <w:pStyle w:val="null3"/>
                    <w:jc w:val="both"/>
                  </w:pPr>
                  <w:r>
                    <w:rPr>
                      <w:rFonts w:ascii="仿宋_GB2312" w:hAnsi="仿宋_GB2312" w:cs="仿宋_GB2312" w:eastAsia="仿宋_GB2312"/>
                      <w:sz w:val="24"/>
                      <w:b/>
                      <w:color w:val="000000"/>
                    </w:rPr>
                    <w:t>2.3.12、应急保障</w:t>
                  </w:r>
                </w:p>
                <w:p>
                  <w:pPr>
                    <w:pStyle w:val="null3"/>
                    <w:ind w:firstLine="480"/>
                    <w:jc w:val="both"/>
                  </w:pPr>
                  <w:r>
                    <w:rPr>
                      <w:rFonts w:ascii="仿宋_GB2312" w:hAnsi="仿宋_GB2312" w:cs="仿宋_GB2312" w:eastAsia="仿宋_GB2312"/>
                      <w:sz w:val="24"/>
                      <w:color w:val="000000"/>
                    </w:rPr>
                    <w:t>充分考虑系统运行维护过程中可能发生的各种不确定因素，制定应急响应预案，提供系统服务器及网络安全监测、网络安全行动演练等工作。</w:t>
                  </w:r>
                </w:p>
                <w:p>
                  <w:pPr>
                    <w:pStyle w:val="null3"/>
                    <w:jc w:val="both"/>
                  </w:pPr>
                  <w:r>
                    <w:rPr>
                      <w:rFonts w:ascii="仿宋_GB2312" w:hAnsi="仿宋_GB2312" w:cs="仿宋_GB2312" w:eastAsia="仿宋_GB2312"/>
                      <w:sz w:val="24"/>
                      <w:b/>
                      <w:color w:val="000000"/>
                    </w:rPr>
                    <w:t>2.3.13、培训</w:t>
                  </w:r>
                </w:p>
                <w:p>
                  <w:pPr>
                    <w:pStyle w:val="null3"/>
                    <w:ind w:firstLine="480"/>
                    <w:jc w:val="both"/>
                  </w:pPr>
                  <w:r>
                    <w:rPr>
                      <w:rFonts w:ascii="仿宋_GB2312" w:hAnsi="仿宋_GB2312" w:cs="仿宋_GB2312" w:eastAsia="仿宋_GB2312"/>
                      <w:sz w:val="24"/>
                      <w:color w:val="000000"/>
                    </w:rPr>
                    <w:t>面向全省执法人员定期的对系统的使用及安全要求进行培训。</w:t>
                  </w:r>
                </w:p>
                <w:p>
                  <w:pPr>
                    <w:pStyle w:val="null3"/>
                    <w:ind w:firstLine="480"/>
                    <w:jc w:val="both"/>
                  </w:pPr>
                  <w:r>
                    <w:rPr>
                      <w:rFonts w:ascii="仿宋_GB2312" w:hAnsi="仿宋_GB2312" w:cs="仿宋_GB2312" w:eastAsia="仿宋_GB2312"/>
                      <w:sz w:val="24"/>
                      <w:color w:val="000000"/>
                    </w:rPr>
                    <w:t>运维交付成果物：运维月报、运维问题记录表、运维年度总结报告等</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8"/>
                      <w:b/>
                      <w:color w:val="000000"/>
                    </w:rPr>
                    <w:t>三</w:t>
                  </w:r>
                  <w:r>
                    <w:rPr>
                      <w:rFonts w:ascii="仿宋_GB2312" w:hAnsi="仿宋_GB2312" w:cs="仿宋_GB2312" w:eastAsia="仿宋_GB2312"/>
                      <w:sz w:val="28"/>
                      <w:b/>
                      <w:color w:val="000000"/>
                    </w:rPr>
                    <w:t>、实施要求</w:t>
                  </w:r>
                </w:p>
                <w:p>
                  <w:pPr>
                    <w:pStyle w:val="null3"/>
                    <w:jc w:val="both"/>
                  </w:pPr>
                  <w:r>
                    <w:rPr>
                      <w:rFonts w:ascii="仿宋_GB2312" w:hAnsi="仿宋_GB2312" w:cs="仿宋_GB2312" w:eastAsia="仿宋_GB2312"/>
                      <w:sz w:val="24"/>
                      <w:b/>
                      <w:color w:val="000000"/>
                    </w:rPr>
                    <w:t>3.1、运维服务人员组成及职责</w:t>
                  </w:r>
                </w:p>
                <w:p>
                  <w:pPr>
                    <w:pStyle w:val="null3"/>
                    <w:ind w:firstLine="480"/>
                    <w:jc w:val="both"/>
                  </w:pPr>
                  <w:r>
                    <w:rPr>
                      <w:rFonts w:ascii="仿宋_GB2312" w:hAnsi="仿宋_GB2312" w:cs="仿宋_GB2312" w:eastAsia="仿宋_GB2312"/>
                      <w:sz w:val="24"/>
                      <w:color w:val="000000"/>
                    </w:rPr>
                    <w:t>驻场服务人员</w:t>
                  </w:r>
                  <w:r>
                    <w:rPr>
                      <w:rFonts w:ascii="仿宋_GB2312" w:hAnsi="仿宋_GB2312" w:cs="仿宋_GB2312" w:eastAsia="仿宋_GB2312"/>
                      <w:sz w:val="24"/>
                      <w:color w:val="000000"/>
                    </w:rPr>
                    <w:t>2人，提供5x8 驻场服务。二线人员2人，提供7x24小时，远程技术支持服务</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color w:val="000000"/>
                    </w:rPr>
                    <w:t>3.2、安全管理要求</w:t>
                  </w:r>
                </w:p>
                <w:p>
                  <w:pPr>
                    <w:pStyle w:val="null3"/>
                    <w:jc w:val="both"/>
                  </w:pPr>
                  <w:r>
                    <w:rPr>
                      <w:rFonts w:ascii="仿宋_GB2312" w:hAnsi="仿宋_GB2312" w:cs="仿宋_GB2312" w:eastAsia="仿宋_GB2312"/>
                      <w:sz w:val="24"/>
                      <w:b/>
                      <w:color w:val="000000"/>
                    </w:rPr>
                    <w:t>3.2.1、运维连续性要求</w:t>
                  </w:r>
                </w:p>
                <w:p>
                  <w:pPr>
                    <w:pStyle w:val="null3"/>
                    <w:ind w:firstLine="480"/>
                    <w:jc w:val="both"/>
                  </w:pPr>
                  <w:r>
                    <w:rPr>
                      <w:rFonts w:ascii="仿宋_GB2312" w:hAnsi="仿宋_GB2312" w:cs="仿宋_GB2312" w:eastAsia="仿宋_GB2312"/>
                      <w:sz w:val="24"/>
                      <w:color w:val="000000"/>
                    </w:rPr>
                    <w:t>系统可用性：</w:t>
                  </w:r>
                  <w:r>
                    <w:rPr>
                      <w:rFonts w:ascii="仿宋_GB2312" w:hAnsi="仿宋_GB2312" w:cs="仿宋_GB2312" w:eastAsia="仿宋_GB2312"/>
                      <w:sz w:val="24"/>
                      <w:color w:val="000000"/>
                    </w:rPr>
                    <w:t>99.99%</w:t>
                  </w:r>
                  <w:r>
                    <w:rPr>
                      <w:rFonts w:ascii="仿宋_GB2312" w:hAnsi="仿宋_GB2312" w:cs="仿宋_GB2312" w:eastAsia="仿宋_GB2312"/>
                      <w:sz w:val="24"/>
                      <w:color w:val="000000"/>
                    </w:rPr>
                    <w:t>。</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 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1、供应商需要在线提交所有通过电子化交易平台实施的政府采购项目的响应文件，同时，线下提交纸质响应文件正本壹份、副本贰份、电子版壹份（U盘壹份）。 2、纸质响应文件正本、副本、电子版，标明供应商名称分开密封递交（响应文件采用双面打印）。 3、线下纸质文件递交截止时间：同在线递交电子响应文件截止时间一致；线下纸质文件递交地点：西安市雁展路1111号莱安中心T6-15层。如需邮寄响应文件，仅接受顺丰速运（联系人：温虎、联系电话：029-81206622-820）。 4、保证金的退还：自采购合同签订之日起5个工作日内退还成交供应商的投标保证金。 5、采购人应按照采购文件和成交供应商响应文件，在成交通知书发出之日起25日内签订合同。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分项报价表.docx 标的清单 报价表 响应报价表.docx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保证金缴纳凭证（保函）.docx 残疾人福利性单位声明函 标的清单 服务内容及服务要求应答表.docx 供应商资格证明文件.docx 响应报价表.docx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响应文件封面 保证金缴纳凭证（保函）.docx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 供应商承诺书.docx 商务条款响应说明.docx 响应文件封面 分项报价表.docx 保证金缴纳凭证（保函）.docx 残疾人福利性单位声明函 标的清单 服务内容及服务要求应答表.docx 供应商资格证明文件.docx 响应报价表.docx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供应商结合本项目背景及以往经验，提出针对本项目采购需求的整体理解思路及建议，内容包括：①工作目标、②工作思路、③工作原则、④重难点分析。 评审标准：各项内容全面详细、阐述条理清晰、对评审内容中的各项要求有详细描述及说明得8分，每有一项缺项扣2分，每有一项内容存在1处缺陷扣1分，扣完为止。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软件运维服务方案</w:t>
            </w:r>
          </w:p>
        </w:tc>
        <w:tc>
          <w:tcPr>
            <w:tcW w:type="dxa" w:w="2492"/>
          </w:tcPr>
          <w:p>
            <w:pPr>
              <w:pStyle w:val="null3"/>
            </w:pPr>
            <w:r>
              <w:rPr>
                <w:rFonts w:ascii="仿宋_GB2312" w:hAnsi="仿宋_GB2312" w:cs="仿宋_GB2312" w:eastAsia="仿宋_GB2312"/>
              </w:rPr>
              <w:t>供应商针对本项目提供软件运维服务方案，内容包括：①定期巡检、②日常维护、③补丁更新、④故障检测修复、⑤远程技术支持、⑥应急响应。 评审标准：各项内容全面详细、阐述条理清晰、对评审内容中的各项要求有详细描述及说明得24分，每有一项缺项扣4分，每有一项内容存在1处缺陷扣1分，扣完为止。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其他运维服务方案</w:t>
            </w:r>
          </w:p>
        </w:tc>
        <w:tc>
          <w:tcPr>
            <w:tcW w:type="dxa" w:w="2492"/>
          </w:tcPr>
          <w:p>
            <w:pPr>
              <w:pStyle w:val="null3"/>
            </w:pPr>
            <w:r>
              <w:rPr>
                <w:rFonts w:ascii="仿宋_GB2312" w:hAnsi="仿宋_GB2312" w:cs="仿宋_GB2312" w:eastAsia="仿宋_GB2312"/>
              </w:rPr>
              <w:t>供应商针对本项目提供其他运维服务方案，内容包括：①驻场运维、②系统运行状态监控及预警、③性能监控及优化、④系统重新部署及调试、⑤业务咨询、⑥业务数据备份、⑦备份测试、⑧重大活动运维服务保障、⑨系统升级、⑩配置管理、⑪运维文档管理、⑫应急保障、⑬培训。 评审标准：方案各项内容全面详细、阐述条理清晰、对评审内容中的各项要求有详细描述及说明得26分，每有一项缺项扣2分，每有一项内容存在1处缺陷扣1分，扣完为止。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服务响应保障方案</w:t>
            </w:r>
          </w:p>
        </w:tc>
        <w:tc>
          <w:tcPr>
            <w:tcW w:type="dxa" w:w="2492"/>
          </w:tcPr>
          <w:p>
            <w:pPr>
              <w:pStyle w:val="null3"/>
            </w:pPr>
            <w:r>
              <w:rPr>
                <w:rFonts w:ascii="仿宋_GB2312" w:hAnsi="仿宋_GB2312" w:cs="仿宋_GB2312" w:eastAsia="仿宋_GB2312"/>
              </w:rPr>
              <w:t>供应商针对本项目采购需求提供服务响应保障方案，方案内容包括但不限于：①内部组织管理制度、②人员管理、③服务机制保障、④保密管理措施。 评审标准：各项内容全面详细、阐述条理清晰、对评审内容中的各项要求有详细描述及说明得8分，每有一项缺项扣2分，每有一项内容存在1处缺陷扣1分，扣完为止。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1、供应商具有质量管理体系认证证书，得2分； 2、供应商具备信息技术服务管理体系认证证书，得2分； 3、供应商具备信息安全管理体系认证证书，得2分； 注：须提供证书扫描件并加盖公章，未提供不计分。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供应商需为本项目指定专职项目经理，拟派项目经理具备：信息系统项目管理师证书（或其他软考高级证书），得2分； 注：须提供项目负责人相关证书扫描件及在本单位任职的社保缴纳证明或劳动合同扫描件，并加盖投标人公章，否则不得分。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供应商针对本项目提供项目团队成员配备情况，包括但不限于：①项目组织架构及岗位职责；②团队人员配置清单；③团队管理制度；④团队监管机制等。 评审标准：各部分内容全面详细、阐述条理清晰详尽、符合本项目采购需求计6分，每有一项缺项扣1.5分，每有一项内容存在一处缺陷，扣0.5分,扣完为止。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供应商提供2023年1月1日至今（以合同签订日期为准）类似项目的业绩合同，每份计2分，满分10分。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响应报价表.docx</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详见附件：保证金缴纳凭证（保函）.docx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