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D4253">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主要功能和用途，用于水、土壤、植物等样品中的：总磷、总氮、硝酸盐氮、亚硝酸盐氮、磷酸盐、氨氮、硅酸盐、硫酸盐、COD、TOC、DOC、硫化物、硼、氯化物、碳酸氢盐、硼酸盐、氨基氮、有机质的耦合分析和数据处理。具有实验室和在线监测的功能。</w:t>
      </w:r>
    </w:p>
    <w:p w14:paraId="1E4DA3D5">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2、环境允许温度：10-45℃，相对湿度：5%-95%，电源：220VAC/50Hz</w:t>
      </w:r>
    </w:p>
    <w:p w14:paraId="2CC9250A">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3、分析项目的技术指标要求：准确度：≤1.5%；精确度：≤1%，加标回收率：90%-110%。要求分析方法符合中国有关国标方法要求。</w:t>
      </w:r>
    </w:p>
    <w:p w14:paraId="5F639FB5">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（1）亚硝氮的测定分析方法：盐酸萘乙二胺分析法，检出限：≤0.001mg/L，检测范围：0-1mg/L。</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（2）硝态氮的测定分析方法：镉柱还原分析法，检出限：≤0.0001mg/L，检测范围：0-2mg/L。</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（3）铵盐/氨氮的测定分析方法：水杨酸钠分析法，检出限：≤0.01mg/L，检测范围：0-10mg/L。</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（4）磷酸盐的测定分析方法：钼酸铵分析法，检出限：≤0.001mg/L，检测范围：0-10mg/L。</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（5）硅酸盐的测定分析方法：硅钼蓝分析法，检出限：≤0.001mg/L，检测范围：0-5mg/L。</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（6）总氮的测定分析方法：碱性过硫酸钾氧化镉还原柱分析法；检出限：≤0.01mg/L，检测范围：0-10mg/L。测定反应要求：压力指标和温度指标均与国标要求一致，压力指标为0.11 MPa-0.14 MPa,温度指标为120℃-124℃，</w:t>
      </w:r>
      <w:bookmarkStart w:id="0" w:name="OLE_LINK1"/>
      <w:r>
        <w:rPr>
          <w:rFonts w:hint="eastAsia" w:asciiTheme="minorEastAsia" w:hAnsiTheme="minorEastAsia" w:eastAsiaTheme="minorEastAsia" w:cstheme="minorEastAsia"/>
          <w:b w:val="0"/>
          <w:bCs/>
          <w:color w:val="auto"/>
          <w:sz w:val="20"/>
          <w:szCs w:val="20"/>
          <w:highlight w:val="none"/>
        </w:rPr>
        <w:t>采用在线紫外消解和110-120℃高温加压联合双重消解方式</w:t>
      </w:r>
      <w:bookmarkEnd w:id="0"/>
      <w:r>
        <w:rPr>
          <w:rFonts w:hint="eastAsia" w:asciiTheme="minorEastAsia" w:hAnsiTheme="minorEastAsia" w:eastAsiaTheme="minorEastAsia" w:cstheme="minorEastAsia"/>
          <w:b w:val="0"/>
          <w:bCs/>
          <w:color w:val="auto"/>
          <w:sz w:val="20"/>
          <w:szCs w:val="20"/>
          <w:highlight w:val="none"/>
        </w:rPr>
        <w:t>。</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（7）总磷的测定分析方法：过硫酸钾氧化钼酸铵分析法；检出限：≤0.01mg/L，检测范围：0-10mg/L。</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（8）COD的测定分析方法：草酸钠分析法，检出限：≤0.01mg/L，检测范围：0-5mg/L。</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（9）硫酸盐的测定分析方法：比浊分析法，检出限：≤1mg/L，检测范围：0-100mg/L。</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（10）硫化物的测定分析方法：甲基蓝分析法，检出限：≤0.02mg/L，检测范围：0-10mg/L。</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（11）硼的测定分析方法：亚甲亚胺-H分析法，检出限：≤0.02mg/L，检测范围：0-50mg/L。</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（12）氯化物的测定分析方法：硫氰酸汞分析法，检出限：≤0.5mg/L，检测范围：0-100mg/L。</w:t>
      </w:r>
    </w:p>
    <w:p w14:paraId="7BD88127">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4、主机</w:t>
      </w:r>
    </w:p>
    <w:p w14:paraId="6CEE34BB">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▲（1）耦合反应主机：一个监测分析平台里面可以整合多功能相关指标。每个仪器或部件、模块采用配有各自独立的AI编码和IP地址，可实现智能化、网络化、远程监控的功能。</w:t>
      </w:r>
    </w:p>
    <w:p w14:paraId="54FF2543">
      <w:pPr>
        <w:spacing w:after="156" w:line="400" w:lineRule="exact"/>
        <w:rPr>
          <w:rFonts w:hint="eastAsia" w:asciiTheme="minorEastAsia" w:hAnsiTheme="minorEastAsia" w:eastAsiaTheme="minorEastAsia" w:cstheme="minorEastAsia"/>
          <w:b w:val="0"/>
          <w:bCs/>
          <w:color w:val="auto"/>
          <w:sz w:val="20"/>
          <w:szCs w:val="20"/>
          <w:highlight w:val="none"/>
        </w:rPr>
      </w:pPr>
      <w:bookmarkStart w:id="1" w:name="OLE_LINK2"/>
      <w:r>
        <w:rPr>
          <w:rFonts w:hint="eastAsia" w:asciiTheme="minorEastAsia" w:hAnsiTheme="minorEastAsia" w:eastAsiaTheme="minorEastAsia" w:cstheme="minorEastAsia"/>
          <w:b w:val="0"/>
          <w:bCs/>
          <w:color w:val="auto"/>
          <w:sz w:val="20"/>
          <w:szCs w:val="20"/>
          <w:highlight w:val="none"/>
        </w:rPr>
        <w:t>▲</w:t>
      </w:r>
      <w:bookmarkEnd w:id="1"/>
      <w:r>
        <w:rPr>
          <w:rFonts w:hint="eastAsia" w:asciiTheme="minorEastAsia" w:hAnsiTheme="minorEastAsia" w:eastAsiaTheme="minorEastAsia" w:cstheme="minorEastAsia"/>
          <w:b w:val="0"/>
          <w:bCs/>
          <w:color w:val="auto"/>
          <w:sz w:val="20"/>
          <w:szCs w:val="20"/>
          <w:highlight w:val="none"/>
        </w:rPr>
        <w:t>（2）化学反应单元主机≥7通道配置，包含一个四通道主机，一个三通道主机，每个主机内置彩色触摸屏微处理控制器，可实时图形监控仪器运行状态、数字显示泵速、各反应器、蒸馏器、消解器的实时温度和设置温度、漏液监测、检测器光源寿命监控和耗材更换提示功能。</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3）每台主机可同时放置不少于6块化学反应模块；主机七位一体的构造以方便操作：蠕动泵、化学分析模块、在线消解压力增加调节器、在线消解器、加热反应器、检测器和系统控制器集成在同一个主机中，不采用分析独立放置的模式。</w:t>
      </w:r>
    </w:p>
    <w:p w14:paraId="62DB8A20">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（4）可实现在线加热器温度设置、在线蒸馏、泵速调节，加热反应器等温度即可直接通过内置于化学分析主机的触摸屏实时数字显示和设定温度值。也可以通过计算机软件程序自动控制。</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（5）主机采用智能化控制系统。</w:t>
      </w:r>
    </w:p>
    <w:p w14:paraId="2CDA943B">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5、全自动进样器</w:t>
      </w:r>
      <w:r>
        <w:rPr>
          <w:rFonts w:hint="eastAsia" w:asciiTheme="minorEastAsia" w:hAnsiTheme="minorEastAsia" w:eastAsiaTheme="minorEastAsia" w:cstheme="minorEastAsia"/>
          <w:b w:val="0"/>
          <w:bCs/>
          <w:color w:val="auto"/>
          <w:sz w:val="20"/>
          <w:szCs w:val="20"/>
          <w:highlight w:val="none"/>
          <w:lang w:val="en-US" w:eastAsia="zh-CN"/>
        </w:rPr>
        <w:t xml:space="preserve">   </w:t>
      </w:r>
    </w:p>
    <w:p w14:paraId="52DEB98A">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计算机控制随机取样，可双针同时取样，位数不少于100个，内置独立通道清洗泵，可设置取样数量、取样重复次数、取样时间、清洗时间、空气注入时间等参数。可自由设定取样针在清洗槽内连续跳洗的时间间隔，气泡大小可调。</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（2）自动进样器附带四通道清洗泵，独立清洗取样针，无须共用蠕动泵。</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（3）可实现随机取样、重复取样、自动归零。</w:t>
      </w:r>
    </w:p>
    <w:p w14:paraId="3497825A">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6、高精度蠕动泵</w:t>
      </w:r>
    </w:p>
    <w:p w14:paraId="521449E3">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主机蠕动泵：平均单台每个蠕动泵至少18位通道试剂位置，泵速四速可调，泵速既可通过主机内置的触摸屏四速可调，也可通过计算机软件程序自动调节。泵盖可自动开启闭合。内置独立空气泵，能连接氮气或者消除环境氨干扰的洗气装置。</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（2）为保证测试效率，蠕动泵试剂管位数泵管位数足够，测试以上项目指标时无须手工切换泵管，保证测试效率。</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（3）蠕动泵精度≤0.5%。</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▲（4）气泡注入方式：通过内置的独立的空压机提供气体（非蠕动泵挤压泵管式），电子气压调节器精密压力控制范围0-1.5bar。</w:t>
      </w:r>
    </w:p>
    <w:p w14:paraId="1FE0EDD0">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7、高精度空气注射器泵及电子空压机</w:t>
      </w:r>
    </w:p>
    <w:p w14:paraId="2EEF1E71">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为系统气泡注入、气压调节提供稳定气源，支撑化学反应单元、蠕动泵的气压需求。</w:t>
      </w:r>
    </w:p>
    <w:p w14:paraId="701233E9">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8、耦合分析模块</w:t>
      </w:r>
    </w:p>
    <w:p w14:paraId="48A6E03B">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（1）系统气泡由化学反应单元内置空压机提供。</w:t>
      </w:r>
    </w:p>
    <w:p w14:paraId="44F50C1A">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▲（2）总磷总氮模块符合国标 HJ 670-2013、HJ 667-2013。</w:t>
      </w:r>
    </w:p>
    <w:p w14:paraId="07DE2507">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（3）总磷总氮模块内置紫外高温高压消解系统。</w:t>
      </w:r>
    </w:p>
    <w:p w14:paraId="703F4060">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（4）压力调节范围 1-1.5 大气压。</w:t>
      </w:r>
    </w:p>
    <w:p w14:paraId="49D783A9">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（5）可实现总磷、总氮、硝酸盐氮、亚硝酸盐氮、磷酸盐、氨氮、硅酸盐、硫酸盐、COD、硫化物、硼、氯化物全指标分析。</w:t>
      </w:r>
    </w:p>
    <w:p w14:paraId="2CF33223">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9、在线紫外和高温高压消解器</w:t>
      </w:r>
    </w:p>
    <w:p w14:paraId="60F217A7">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（1）采用在线紫外消解 + 110-120℃高温加压双重消解方式，符合国标消解要求。</w:t>
      </w:r>
    </w:p>
    <w:p w14:paraId="49D2AFF7">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（2）消解压力 0.11MPa-0.14MPa，温度 120℃-124℃，匹配总磷总氮检测需求。</w:t>
      </w:r>
    </w:p>
    <w:p w14:paraId="709C00B0">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10、在线压力调节器</w:t>
      </w:r>
    </w:p>
    <w:p w14:paraId="693E176E">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（1）精准调控消解系统压力，范围 1-1.5 大气压。</w:t>
      </w:r>
    </w:p>
    <w:p w14:paraId="67FC251F">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（2）与在线消解器、耦合分析模块联动，保障检测稳定性。</w:t>
      </w:r>
    </w:p>
    <w:p w14:paraId="1903516B">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11、检测系统</w:t>
      </w:r>
    </w:p>
    <w:p w14:paraId="2F574838">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（1）双光束双波长检测器≥6通道，32位高精度数字式检测器。</w:t>
      </w:r>
    </w:p>
    <w:p w14:paraId="7D1CEF1E">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（2）光源支持钨灯 LED 灯，适配多指标检测。</w:t>
      </w:r>
    </w:p>
    <w:p w14:paraId="63B2F59E">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12、耦合智能控制系统</w:t>
      </w:r>
    </w:p>
    <w:p w14:paraId="378BFB3A">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（1）硬件级智能控制，联动全硬件模块运行。</w:t>
      </w:r>
    </w:p>
    <w:p w14:paraId="085525BB">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（2）实现数据采集、参数调控、状态监控一体化。</w:t>
      </w:r>
    </w:p>
    <w:p w14:paraId="634C248D">
      <w:pPr>
        <w:spacing w:after="156" w:line="400" w:lineRule="exact"/>
        <w:rPr>
          <w:rFonts w:hint="eastAsia" w:asciiTheme="minorEastAsia" w:hAnsiTheme="minorEastAsia" w:eastAsiaTheme="minorEastAsia" w:cstheme="minorEastAsia"/>
          <w:b w:val="0"/>
          <w:bCs/>
          <w:color w:val="auto"/>
          <w:sz w:val="20"/>
          <w:szCs w:val="20"/>
          <w:highlight w:val="none"/>
          <w:lang w:eastAsia="zh-CN"/>
        </w:rPr>
      </w:pPr>
      <w:r>
        <w:rPr>
          <w:rFonts w:hint="eastAsia" w:asciiTheme="minorEastAsia" w:hAnsiTheme="minorEastAsia" w:eastAsiaTheme="minorEastAsia" w:cstheme="minorEastAsia"/>
          <w:b w:val="0"/>
          <w:bCs/>
          <w:color w:val="auto"/>
          <w:sz w:val="20"/>
          <w:szCs w:val="20"/>
          <w:highlight w:val="none"/>
        </w:rPr>
        <w:t>13、在线监控</w:t>
      </w:r>
      <w:r>
        <w:rPr>
          <w:rFonts w:hint="eastAsia" w:asciiTheme="minorEastAsia" w:hAnsiTheme="minorEastAsia" w:eastAsiaTheme="minorEastAsia" w:cstheme="minorEastAsia"/>
          <w:b w:val="0"/>
          <w:bCs/>
          <w:color w:val="auto"/>
          <w:sz w:val="20"/>
          <w:szCs w:val="20"/>
          <w:highlight w:val="none"/>
          <w:lang w:val="en-US" w:eastAsia="zh-CN"/>
        </w:rPr>
        <w:t>功能</w:t>
      </w:r>
    </w:p>
    <w:p w14:paraId="7D51572C">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（1）实时采集硬件运行数据、检测数据。</w:t>
      </w:r>
    </w:p>
    <w:p w14:paraId="6A9475BD">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（2）数据同步上传至软件系统，实现可视化监控。</w:t>
      </w:r>
    </w:p>
    <w:p w14:paraId="40FCEE79">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14、耦合分析数据处理系统</w:t>
      </w:r>
    </w:p>
    <w:p w14:paraId="52BDE64A">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（1）匹配全硬件检测需求，完成数据接收、分析、处理。</w:t>
      </w:r>
    </w:p>
    <w:p w14:paraId="672DB2F1">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（2）支持数据存储、导出、质控分析。</w:t>
      </w:r>
    </w:p>
    <w:p w14:paraId="0A02A573">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15、备品备件和启动工具包</w:t>
      </w:r>
    </w:p>
    <w:p w14:paraId="560C5D9A">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（1）配套全硬件设备，提供质保期内运维所需备品备件。</w:t>
      </w:r>
    </w:p>
    <w:p w14:paraId="42E2B91C">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（2）含设备启动、安装、调试专用工具。</w:t>
      </w:r>
    </w:p>
    <w:p w14:paraId="2DB7AE91">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16、分析软件功能</w:t>
      </w:r>
    </w:p>
    <w:p w14:paraId="358C84B5">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（1）提供中文版操作软件, 分析软件符合良好实验室（GLP/CLP）规范，分析结果可输出到LIMS或转化到微软Excel格式, 可根据需要自定生成的报表格式。</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2）软件可对系统中每个部件进行独立监控，包括取样器、蠕动泵、化学处理部件、检测器。远程监控访问功能在实验室网络可及范围内的任意地点检查仪器状态并进行诊断。可以随时查看运行情况、分析结果、设置信息、进行仪器诊断并解决故障、检查漏液、实现仪器的开启。</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（3）能同时实时监测≥16个分析通道，软件登录分不同管理级别密码，可远程操控数据处理系统并进行诊断及升级。软件具有分析记忆暂停、后续自动分析功能。</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4）软件符合GLP/CLP的规范要求，支持全面统计和质量控制标准，如校正和方法有效性、带数据和方法的结果储存、文件写保护和智能判定都按国标。可计算出检测低限、残余标准偏差、相关性、t-试验、f-试验等。</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（5）软件支持智能化的网络接口动态主机配置协议，软件可控制每个检测器的灯源，用户可进行任意光源的开/关操作。在运行过程中自动调整基线及峰形高度，保证峰形不会溢出显示屏幕显示不出完整峰形。</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（6）软件内置有机碳和有机质分析软件，可以兼容和耦合连接各类有关仪器。</w:t>
      </w:r>
    </w:p>
    <w:p w14:paraId="37F8EDE3">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17、智能化控制系统功能</w:t>
      </w:r>
    </w:p>
    <w:p w14:paraId="06ABF509">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（1）能够自动采集各部件相关信息及数据并和软件进行通讯。可实时显示各模块设定温度、实时温度、实时泵速、蠕动泵管使用寿命、实际使用时间、光源使用寿命、实际使用时间等信息，漏液检测信息。</w:t>
      </w:r>
      <w:r>
        <w:rPr>
          <w:rFonts w:hint="eastAsia" w:asciiTheme="minorEastAsia" w:hAnsiTheme="minorEastAsia" w:eastAsiaTheme="minorEastAsia" w:cstheme="minorEastAsia"/>
          <w:b w:val="0"/>
          <w:bCs/>
          <w:color w:val="auto"/>
          <w:sz w:val="20"/>
          <w:szCs w:val="20"/>
          <w:highlight w:val="none"/>
        </w:rPr>
        <w:br w:type="textWrapping"/>
      </w:r>
      <w:r>
        <w:rPr>
          <w:rFonts w:hint="eastAsia" w:asciiTheme="minorEastAsia" w:hAnsiTheme="minorEastAsia" w:eastAsiaTheme="minorEastAsia" w:cstheme="minorEastAsia"/>
          <w:b w:val="0"/>
          <w:bCs/>
          <w:color w:val="auto"/>
          <w:sz w:val="20"/>
          <w:szCs w:val="20"/>
          <w:highlight w:val="none"/>
        </w:rPr>
        <w:t>（2）采用中英文控制软件，可同时显示多分析通道的实时谱图；结果自动计算及标准曲线校正，实时保存数据结果。</w:t>
      </w:r>
    </w:p>
    <w:p w14:paraId="6255C993">
      <w:pPr>
        <w:spacing w:after="156" w:line="400" w:lineRule="exact"/>
        <w:rPr>
          <w:rFonts w:hint="eastAsia" w:asciiTheme="minorEastAsia" w:hAnsiTheme="minorEastAsia" w:eastAsiaTheme="minorEastAsia" w:cstheme="minorEastAsia"/>
          <w:b w:val="0"/>
          <w:bCs/>
          <w:color w:val="auto"/>
          <w:sz w:val="20"/>
          <w:szCs w:val="20"/>
          <w:highlight w:val="none"/>
        </w:rPr>
      </w:pPr>
      <w:r>
        <w:rPr>
          <w:rFonts w:hint="eastAsia" w:asciiTheme="minorEastAsia" w:hAnsiTheme="minorEastAsia" w:eastAsiaTheme="minorEastAsia" w:cstheme="minorEastAsia"/>
          <w:b w:val="0"/>
          <w:bCs/>
          <w:color w:val="auto"/>
          <w:sz w:val="20"/>
          <w:szCs w:val="20"/>
          <w:highlight w:val="none"/>
        </w:rPr>
        <w:t>18、设备组成</w:t>
      </w:r>
    </w:p>
    <w:p w14:paraId="2BEE5390">
      <w:pPr>
        <w:spacing w:after="156" w:line="400" w:lineRule="exact"/>
        <w:rPr>
          <w:rFonts w:hint="eastAsia" w:asciiTheme="minorEastAsia" w:hAnsiTheme="minorEastAsia" w:eastAsiaTheme="minorEastAsia" w:cstheme="minorEastAsia"/>
          <w:b w:val="0"/>
          <w:bCs/>
          <w:color w:val="auto"/>
          <w:sz w:val="20"/>
          <w:szCs w:val="20"/>
          <w:highlight w:val="none"/>
          <w:lang w:val="en-US" w:eastAsia="zh-CN"/>
        </w:rPr>
      </w:pPr>
      <w:r>
        <w:rPr>
          <w:rFonts w:hint="eastAsia" w:asciiTheme="minorEastAsia" w:hAnsiTheme="minorEastAsia" w:eastAsiaTheme="minorEastAsia" w:cstheme="minorEastAsia"/>
          <w:b w:val="0"/>
          <w:bCs/>
          <w:color w:val="auto"/>
          <w:sz w:val="20"/>
          <w:szCs w:val="20"/>
          <w:highlight w:val="none"/>
          <w:lang w:val="en-US" w:eastAsia="zh-CN"/>
        </w:rPr>
        <w:t>（1）耦合智能控制系统：1套</w:t>
      </w:r>
    </w:p>
    <w:p w14:paraId="2FA8029D">
      <w:pPr>
        <w:spacing w:after="156" w:line="400" w:lineRule="exact"/>
        <w:rPr>
          <w:rFonts w:hint="eastAsia" w:asciiTheme="minorEastAsia" w:hAnsiTheme="minorEastAsia" w:eastAsiaTheme="minorEastAsia" w:cstheme="minorEastAsia"/>
          <w:b w:val="0"/>
          <w:bCs/>
          <w:color w:val="auto"/>
          <w:sz w:val="20"/>
          <w:szCs w:val="20"/>
          <w:highlight w:val="none"/>
          <w:lang w:val="en-US" w:eastAsia="zh-CN"/>
        </w:rPr>
      </w:pPr>
      <w:r>
        <w:rPr>
          <w:rFonts w:hint="eastAsia" w:asciiTheme="minorEastAsia" w:hAnsiTheme="minorEastAsia" w:eastAsiaTheme="minorEastAsia" w:cstheme="minorEastAsia"/>
          <w:b w:val="0"/>
          <w:bCs/>
          <w:color w:val="auto"/>
          <w:sz w:val="20"/>
          <w:szCs w:val="20"/>
          <w:highlight w:val="none"/>
          <w:lang w:val="en-US" w:eastAsia="zh-CN"/>
        </w:rPr>
        <w:t>（2）化学反应单元主机：2台</w:t>
      </w:r>
      <w:r>
        <w:rPr>
          <w:rFonts w:hint="eastAsia" w:asciiTheme="minorEastAsia" w:hAnsiTheme="minorEastAsia" w:eastAsiaTheme="minorEastAsia" w:cstheme="minorEastAsia"/>
          <w:b w:val="0"/>
          <w:bCs/>
          <w:color w:val="auto"/>
          <w:sz w:val="20"/>
          <w:szCs w:val="20"/>
          <w:highlight w:val="none"/>
          <w:lang w:val="en-US" w:eastAsia="zh-CN"/>
        </w:rPr>
        <w:br w:type="textWrapping"/>
      </w:r>
      <w:r>
        <w:rPr>
          <w:rFonts w:hint="eastAsia" w:asciiTheme="minorEastAsia" w:hAnsiTheme="minorEastAsia" w:eastAsiaTheme="minorEastAsia" w:cstheme="minorEastAsia"/>
          <w:b w:val="0"/>
          <w:bCs/>
          <w:color w:val="auto"/>
          <w:sz w:val="20"/>
          <w:szCs w:val="20"/>
          <w:highlight w:val="none"/>
          <w:lang w:val="en-US" w:eastAsia="zh-CN"/>
        </w:rPr>
        <w:t>（3）自动进样器：2台</w:t>
      </w:r>
    </w:p>
    <w:p w14:paraId="503E2EEB">
      <w:pPr>
        <w:spacing w:after="156" w:line="400" w:lineRule="exact"/>
        <w:rPr>
          <w:rFonts w:hint="eastAsia" w:asciiTheme="minorEastAsia" w:hAnsiTheme="minorEastAsia" w:eastAsiaTheme="minorEastAsia" w:cstheme="minorEastAsia"/>
          <w:b w:val="0"/>
          <w:bCs/>
          <w:color w:val="auto"/>
          <w:sz w:val="20"/>
          <w:szCs w:val="20"/>
          <w:highlight w:val="none"/>
          <w:lang w:val="en-US" w:eastAsia="zh-CN"/>
        </w:rPr>
      </w:pPr>
      <w:r>
        <w:rPr>
          <w:rFonts w:hint="eastAsia" w:asciiTheme="minorEastAsia" w:hAnsiTheme="minorEastAsia" w:eastAsiaTheme="minorEastAsia" w:cstheme="minorEastAsia"/>
          <w:b w:val="0"/>
          <w:bCs/>
          <w:color w:val="auto"/>
          <w:sz w:val="20"/>
          <w:szCs w:val="20"/>
          <w:highlight w:val="none"/>
          <w:lang w:val="en-US" w:eastAsia="zh-CN"/>
        </w:rPr>
        <w:t>（4）高精度蠕动泵：3台</w:t>
      </w:r>
      <w:r>
        <w:rPr>
          <w:rFonts w:hint="eastAsia" w:asciiTheme="minorEastAsia" w:hAnsiTheme="minorEastAsia" w:eastAsiaTheme="minorEastAsia" w:cstheme="minorEastAsia"/>
          <w:b w:val="0"/>
          <w:bCs/>
          <w:color w:val="auto"/>
          <w:sz w:val="20"/>
          <w:szCs w:val="20"/>
          <w:highlight w:val="none"/>
          <w:lang w:val="en-US" w:eastAsia="zh-CN"/>
        </w:rPr>
        <w:br w:type="textWrapping"/>
      </w:r>
      <w:r>
        <w:rPr>
          <w:rFonts w:hint="eastAsia" w:asciiTheme="minorEastAsia" w:hAnsiTheme="minorEastAsia" w:eastAsiaTheme="minorEastAsia" w:cstheme="minorEastAsia"/>
          <w:b w:val="0"/>
          <w:bCs/>
          <w:color w:val="auto"/>
          <w:sz w:val="20"/>
          <w:szCs w:val="20"/>
          <w:highlight w:val="none"/>
          <w:lang w:val="en-US" w:eastAsia="zh-CN"/>
        </w:rPr>
        <w:t>（5）高精度空气注射器泵及电子空压机：2台</w:t>
      </w:r>
      <w:r>
        <w:rPr>
          <w:rFonts w:hint="eastAsia" w:asciiTheme="minorEastAsia" w:hAnsiTheme="minorEastAsia" w:eastAsiaTheme="minorEastAsia" w:cstheme="minorEastAsia"/>
          <w:b w:val="0"/>
          <w:bCs/>
          <w:color w:val="auto"/>
          <w:sz w:val="20"/>
          <w:szCs w:val="20"/>
          <w:highlight w:val="none"/>
          <w:lang w:val="en-US" w:eastAsia="zh-CN"/>
        </w:rPr>
        <w:br w:type="textWrapping"/>
      </w:r>
      <w:r>
        <w:rPr>
          <w:rFonts w:hint="eastAsia" w:asciiTheme="minorEastAsia" w:hAnsiTheme="minorEastAsia" w:eastAsiaTheme="minorEastAsia" w:cstheme="minorEastAsia"/>
          <w:b w:val="0"/>
          <w:bCs/>
          <w:color w:val="auto"/>
          <w:sz w:val="20"/>
          <w:szCs w:val="20"/>
          <w:highlight w:val="none"/>
          <w:lang w:val="en-US" w:eastAsia="zh-CN"/>
        </w:rPr>
        <w:t>（6）耦合分析模块：1套（可分析：总磷、总氮/硝酸盐氮/亚硝酸盐氮、磷酸盐、氨氮和硅酸盐、硫酸盐、COD、硫化物、硼、氯化物）。</w:t>
      </w:r>
      <w:r>
        <w:rPr>
          <w:rFonts w:hint="eastAsia" w:asciiTheme="minorEastAsia" w:hAnsiTheme="minorEastAsia" w:eastAsiaTheme="minorEastAsia" w:cstheme="minorEastAsia"/>
          <w:b w:val="0"/>
          <w:bCs/>
          <w:color w:val="auto"/>
          <w:sz w:val="20"/>
          <w:szCs w:val="20"/>
          <w:highlight w:val="none"/>
          <w:lang w:val="en-US" w:eastAsia="zh-CN"/>
        </w:rPr>
        <w:br w:type="textWrapping"/>
      </w:r>
      <w:r>
        <w:rPr>
          <w:rFonts w:hint="eastAsia" w:asciiTheme="minorEastAsia" w:hAnsiTheme="minorEastAsia" w:eastAsiaTheme="minorEastAsia" w:cstheme="minorEastAsia"/>
          <w:b w:val="0"/>
          <w:bCs/>
          <w:color w:val="auto"/>
          <w:sz w:val="20"/>
          <w:szCs w:val="20"/>
          <w:highlight w:val="none"/>
          <w:lang w:val="en-US" w:eastAsia="zh-CN"/>
        </w:rPr>
        <w:t>（7）在线紫外和高温高压消解器：1个</w:t>
      </w:r>
      <w:r>
        <w:rPr>
          <w:rFonts w:hint="eastAsia" w:asciiTheme="minorEastAsia" w:hAnsiTheme="minorEastAsia" w:eastAsiaTheme="minorEastAsia" w:cstheme="minorEastAsia"/>
          <w:b w:val="0"/>
          <w:bCs/>
          <w:color w:val="auto"/>
          <w:sz w:val="20"/>
          <w:szCs w:val="20"/>
          <w:highlight w:val="none"/>
          <w:lang w:val="en-US" w:eastAsia="zh-CN"/>
        </w:rPr>
        <w:br w:type="textWrapping"/>
      </w:r>
      <w:r>
        <w:rPr>
          <w:rFonts w:hint="eastAsia" w:asciiTheme="minorEastAsia" w:hAnsiTheme="minorEastAsia" w:eastAsiaTheme="minorEastAsia" w:cstheme="minorEastAsia"/>
          <w:b w:val="0"/>
          <w:bCs/>
          <w:color w:val="auto"/>
          <w:sz w:val="20"/>
          <w:szCs w:val="20"/>
          <w:highlight w:val="none"/>
          <w:lang w:val="en-US" w:eastAsia="zh-CN"/>
        </w:rPr>
        <w:t>（8）在线压力调节器：1个</w:t>
      </w:r>
      <w:r>
        <w:rPr>
          <w:rFonts w:hint="eastAsia" w:asciiTheme="minorEastAsia" w:hAnsiTheme="minorEastAsia" w:eastAsiaTheme="minorEastAsia" w:cstheme="minorEastAsia"/>
          <w:b w:val="0"/>
          <w:bCs/>
          <w:color w:val="auto"/>
          <w:sz w:val="20"/>
          <w:szCs w:val="20"/>
          <w:highlight w:val="none"/>
          <w:lang w:val="en-US" w:eastAsia="zh-CN"/>
        </w:rPr>
        <w:br w:type="textWrapping"/>
      </w:r>
      <w:r>
        <w:rPr>
          <w:rFonts w:hint="eastAsia" w:asciiTheme="minorEastAsia" w:hAnsiTheme="minorEastAsia" w:eastAsiaTheme="minorEastAsia" w:cstheme="minorEastAsia"/>
          <w:b w:val="0"/>
          <w:bCs/>
          <w:color w:val="auto"/>
          <w:sz w:val="20"/>
          <w:szCs w:val="20"/>
          <w:highlight w:val="none"/>
          <w:lang w:val="en-US" w:eastAsia="zh-CN"/>
        </w:rPr>
        <w:t>（9）在线监控功能：1个</w:t>
      </w:r>
      <w:r>
        <w:rPr>
          <w:rFonts w:hint="eastAsia" w:asciiTheme="minorEastAsia" w:hAnsiTheme="minorEastAsia" w:eastAsiaTheme="minorEastAsia" w:cstheme="minorEastAsia"/>
          <w:b w:val="0"/>
          <w:bCs/>
          <w:color w:val="auto"/>
          <w:sz w:val="20"/>
          <w:szCs w:val="20"/>
          <w:highlight w:val="none"/>
          <w:lang w:val="en-US" w:eastAsia="zh-CN"/>
        </w:rPr>
        <w:br w:type="textWrapping"/>
      </w:r>
      <w:r>
        <w:rPr>
          <w:rFonts w:hint="eastAsia" w:asciiTheme="minorEastAsia" w:hAnsiTheme="minorEastAsia" w:eastAsiaTheme="minorEastAsia" w:cstheme="minorEastAsia"/>
          <w:b w:val="0"/>
          <w:bCs/>
          <w:color w:val="auto"/>
          <w:sz w:val="20"/>
          <w:szCs w:val="20"/>
          <w:highlight w:val="none"/>
          <w:lang w:val="en-US" w:eastAsia="zh-CN"/>
        </w:rPr>
        <w:t>（10）耦合分析数据处理系统：2个</w:t>
      </w:r>
    </w:p>
    <w:p w14:paraId="1C359EB4">
      <w:r>
        <w:rPr>
          <w:rFonts w:hint="eastAsia" w:asciiTheme="minorEastAsia" w:hAnsiTheme="minorEastAsia" w:eastAsiaTheme="minorEastAsia" w:cstheme="minorEastAsia"/>
          <w:b w:val="0"/>
          <w:bCs/>
          <w:color w:val="auto"/>
          <w:sz w:val="20"/>
          <w:szCs w:val="20"/>
          <w:highlight w:val="none"/>
          <w:lang w:val="en-US" w:eastAsia="zh-CN"/>
        </w:rPr>
        <w:t>（11）备品备件和启动工具包：1批</w:t>
      </w:r>
      <w:r>
        <w:rPr>
          <w:rFonts w:hint="eastAsia" w:asciiTheme="minorEastAsia" w:hAnsiTheme="minorEastAsia" w:eastAsiaTheme="minorEastAsia" w:cstheme="minorEastAsia"/>
          <w:b w:val="0"/>
          <w:bCs/>
          <w:color w:val="auto"/>
          <w:sz w:val="20"/>
          <w:szCs w:val="20"/>
          <w:highlight w:val="none"/>
          <w:lang w:val="en-US" w:eastAsia="zh-CN"/>
        </w:rPr>
        <w:br w:type="textWrapping"/>
      </w:r>
      <w:r>
        <w:rPr>
          <w:rFonts w:hint="eastAsia" w:asciiTheme="minorEastAsia" w:hAnsiTheme="minorEastAsia" w:eastAsiaTheme="minorEastAsia" w:cstheme="minorEastAsia"/>
          <w:b w:val="0"/>
          <w:bCs/>
          <w:color w:val="auto"/>
          <w:sz w:val="20"/>
          <w:szCs w:val="20"/>
          <w:highlight w:val="none"/>
          <w:lang w:val="en-US" w:eastAsia="zh-CN"/>
        </w:rPr>
        <w:t>（12）主机耦合软件工作站：1个</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9D64D3"/>
    <w:rsid w:val="06511E5F"/>
    <w:rsid w:val="0DD31855"/>
    <w:rsid w:val="0FCD29BF"/>
    <w:rsid w:val="116A65C1"/>
    <w:rsid w:val="151224E2"/>
    <w:rsid w:val="1E9D64D3"/>
    <w:rsid w:val="25AE77EF"/>
    <w:rsid w:val="2CD02D92"/>
    <w:rsid w:val="31176FE8"/>
    <w:rsid w:val="31420195"/>
    <w:rsid w:val="388F47DF"/>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810</Words>
  <Characters>1065</Characters>
  <Lines>0</Lines>
  <Paragraphs>0</Paragraphs>
  <TotalTime>0</TotalTime>
  <ScaleCrop>false</ScaleCrop>
  <LinksUpToDate>false</LinksUpToDate>
  <CharactersWithSpaces>1075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2026-04-16T09:37:00Z</dcterms:created>
  <dc:creator>子夜</dc:creator>
  <cp:lastModifiedBy>子夜</cp:lastModifiedBy>
  <dcterms:modified xsi:type="dcterms:W3CDTF">2026-04-16T10:59:19Z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9FCE1EEFCFE14D82AF9A7C497049217C_11</vt:lpwstr>
  </property>
  <property fmtid="{D5CDD505-2E9C-101B-9397-08002B2CF9AE}" pid="4" name="KSOTemplateDocerSaveRecord">
    <vt:lpwstr>eyJoZGlkIjoiZjgyZjZhZDkxNGQxNzg4ZDhlYjkzZTc1NDAzOTBjYWEiLCJ1c2VySWQiOiIyNjAwNjc5MjkifQ==</vt:lpwstr>
  </property>
</Properties>
</file>