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321DDF">
      <w:pPr>
        <w:spacing w:before="0" w:beforeLines="0" w:after="0" w:afterLines="0" w:line="360" w:lineRule="auto"/>
        <w:jc w:val="both"/>
        <w:rPr>
          <w:rFonts w:hint="default" w:ascii="仿宋" w:hAnsi="仿宋" w:eastAsia="仿宋" w:cs="仿宋"/>
          <w:b/>
          <w:color w:val="auto"/>
          <w:sz w:val="32"/>
          <w:szCs w:val="32"/>
          <w:highlight w:val="none"/>
          <w:lang w:val="en-US" w:eastAsia="zh-CN"/>
        </w:rPr>
      </w:pPr>
    </w:p>
    <w:p w14:paraId="0DC6FD22">
      <w:pPr>
        <w:spacing w:before="0" w:beforeLines="0" w:after="0" w:afterLines="0" w:line="360" w:lineRule="auto"/>
        <w:jc w:val="center"/>
        <w:rPr>
          <w:rFonts w:hint="default" w:ascii="仿宋" w:hAnsi="仿宋" w:eastAsia="仿宋" w:cs="仿宋"/>
          <w:b/>
          <w:color w:val="auto"/>
          <w:sz w:val="32"/>
          <w:szCs w:val="32"/>
          <w:highlight w:val="none"/>
          <w:lang w:val="en-US" w:eastAsia="zh-CN"/>
        </w:rPr>
      </w:pPr>
      <w:r>
        <w:rPr>
          <w:rFonts w:hint="default" w:ascii="仿宋" w:hAnsi="仿宋" w:eastAsia="仿宋" w:cs="仿宋"/>
          <w:b/>
          <w:color w:val="auto"/>
          <w:sz w:val="32"/>
          <w:szCs w:val="32"/>
          <w:highlight w:val="none"/>
          <w:lang w:val="en-US" w:eastAsia="zh-CN"/>
        </w:rPr>
        <w:t>承诺函</w:t>
      </w:r>
    </w:p>
    <w:p w14:paraId="104D350D">
      <w:pPr>
        <w:spacing w:beforeLines="0" w:afterLines="0" w:line="360" w:lineRule="auto"/>
        <w:ind w:firstLine="480" w:firstLineChars="200"/>
        <w:jc w:val="left"/>
        <w:outlineLvl w:val="9"/>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u w:val="single"/>
          <w:lang w:eastAsia="zh-CN"/>
        </w:rPr>
        <w:t>采购人</w:t>
      </w:r>
      <w:r>
        <w:rPr>
          <w:rFonts w:hint="eastAsia" w:ascii="仿宋" w:hAnsi="仿宋" w:eastAsia="仿宋" w:cs="仿宋"/>
          <w:color w:val="auto"/>
          <w:sz w:val="24"/>
          <w:szCs w:val="24"/>
          <w:highlight w:val="none"/>
          <w:u w:val="single"/>
        </w:rPr>
        <w:t>名称）</w:t>
      </w:r>
      <w:r>
        <w:rPr>
          <w:rFonts w:hint="eastAsia" w:ascii="仿宋" w:hAnsi="仿宋" w:eastAsia="仿宋" w:cs="仿宋"/>
          <w:color w:val="auto"/>
          <w:sz w:val="24"/>
          <w:szCs w:val="24"/>
          <w:highlight w:val="none"/>
        </w:rPr>
        <w:t>：</w:t>
      </w:r>
    </w:p>
    <w:p w14:paraId="1F281EB8">
      <w:pPr>
        <w:spacing w:beforeLines="0" w:afterLines="0" w:line="360" w:lineRule="auto"/>
        <w:ind w:firstLine="480" w:firstLineChars="200"/>
        <w:jc w:val="left"/>
        <w:outlineLvl w:val="9"/>
        <w:rPr>
          <w:rFonts w:hint="default" w:ascii="仿宋" w:hAnsi="仿宋" w:eastAsia="仿宋" w:cs="仿宋"/>
          <w:color w:val="auto"/>
          <w:sz w:val="24"/>
          <w:szCs w:val="24"/>
          <w:highlight w:val="none"/>
          <w:lang w:val="en-US" w:eastAsia="zh-CN"/>
        </w:rPr>
      </w:pPr>
      <w:r>
        <w:rPr>
          <w:rFonts w:hint="default" w:ascii="仿宋" w:hAnsi="仿宋" w:eastAsia="仿宋" w:cs="仿宋"/>
          <w:color w:val="auto"/>
          <w:sz w:val="24"/>
          <w:szCs w:val="24"/>
          <w:highlight w:val="none"/>
          <w:lang w:val="en-US" w:eastAsia="zh-CN"/>
        </w:rPr>
        <w:t>我方（投标人全称）拟参与贵方组织的________________项目（项目名称）的投标。我方已仔细阅读并充分理解招标文件中关于项目特殊性要求及外部协调责任的全部内容。为此，我方郑重承诺如下：</w:t>
      </w:r>
    </w:p>
    <w:p w14:paraId="759C73FD">
      <w:pPr>
        <w:spacing w:beforeLines="0" w:afterLines="0" w:line="360" w:lineRule="auto"/>
        <w:ind w:firstLine="480" w:firstLineChars="200"/>
        <w:jc w:val="left"/>
        <w:outlineLvl w:val="9"/>
        <w:rPr>
          <w:rFonts w:hint="default" w:ascii="仿宋" w:hAnsi="仿宋" w:eastAsia="仿宋" w:cs="仿宋"/>
          <w:color w:val="auto"/>
          <w:sz w:val="24"/>
          <w:szCs w:val="24"/>
          <w:highlight w:val="none"/>
          <w:lang w:val="en-US" w:eastAsia="zh-CN"/>
        </w:rPr>
      </w:pPr>
      <w:r>
        <w:rPr>
          <w:rFonts w:hint="default" w:ascii="仿宋" w:hAnsi="仿宋" w:eastAsia="仿宋" w:cs="仿宋"/>
          <w:color w:val="auto"/>
          <w:sz w:val="24"/>
          <w:szCs w:val="24"/>
          <w:highlight w:val="none"/>
          <w:lang w:val="en-US" w:eastAsia="zh-CN"/>
        </w:rPr>
        <w:t>一、外部审批责任</w:t>
      </w:r>
    </w:p>
    <w:p w14:paraId="7EB98DB0">
      <w:pPr>
        <w:spacing w:beforeLines="0" w:afterLines="0" w:line="360" w:lineRule="auto"/>
        <w:ind w:firstLine="480" w:firstLineChars="200"/>
        <w:jc w:val="left"/>
        <w:outlineLvl w:val="9"/>
        <w:rPr>
          <w:rFonts w:hint="default" w:ascii="仿宋" w:hAnsi="仿宋" w:eastAsia="仿宋" w:cs="仿宋"/>
          <w:color w:val="auto"/>
          <w:sz w:val="24"/>
          <w:szCs w:val="24"/>
          <w:highlight w:val="none"/>
          <w:lang w:val="en-US" w:eastAsia="zh-CN"/>
        </w:rPr>
      </w:pPr>
      <w:r>
        <w:rPr>
          <w:rFonts w:hint="default" w:ascii="仿宋" w:hAnsi="仿宋" w:eastAsia="仿宋" w:cs="仿宋"/>
          <w:color w:val="auto"/>
          <w:sz w:val="24"/>
          <w:szCs w:val="24"/>
          <w:highlight w:val="none"/>
          <w:lang w:val="en-US" w:eastAsia="zh-CN"/>
        </w:rPr>
        <w:t>若我方中标，将全权负责办理施工期间涉及的占道施工、夜间施工、渣土运输、噪声排放、临时围挡设置、建筑垃圾清运等所有政府行政许可及备案手续。为办理相关手续所产生的咨询、</w:t>
      </w:r>
      <w:r>
        <w:rPr>
          <w:rFonts w:hint="eastAsia" w:ascii="仿宋" w:hAnsi="仿宋" w:eastAsia="仿宋" w:cs="仿宋"/>
          <w:color w:val="auto"/>
          <w:sz w:val="24"/>
          <w:szCs w:val="24"/>
          <w:highlight w:val="none"/>
          <w:lang w:val="en-US" w:eastAsia="zh-CN"/>
        </w:rPr>
        <w:t>外围</w:t>
      </w:r>
      <w:r>
        <w:rPr>
          <w:rFonts w:hint="default" w:ascii="仿宋" w:hAnsi="仿宋" w:eastAsia="仿宋" w:cs="仿宋"/>
          <w:color w:val="auto"/>
          <w:sz w:val="24"/>
          <w:szCs w:val="24"/>
          <w:highlight w:val="none"/>
          <w:lang w:val="en-US" w:eastAsia="zh-CN"/>
        </w:rPr>
        <w:t>协调、交通疏导设施、临时围挡升级、环卫保洁、降噪防尘措施</w:t>
      </w:r>
      <w:r>
        <w:rPr>
          <w:rFonts w:hint="eastAsia" w:ascii="仿宋" w:hAnsi="仿宋" w:eastAsia="仿宋" w:cs="仿宋"/>
          <w:color w:val="auto"/>
          <w:sz w:val="24"/>
          <w:szCs w:val="24"/>
          <w:highlight w:val="none"/>
          <w:lang w:val="en-US" w:eastAsia="zh-CN"/>
        </w:rPr>
        <w:t>及相应处罚（若有）</w:t>
      </w:r>
      <w:r>
        <w:rPr>
          <w:rFonts w:hint="default" w:ascii="仿宋" w:hAnsi="仿宋" w:eastAsia="仿宋" w:cs="仿宋"/>
          <w:color w:val="auto"/>
          <w:sz w:val="24"/>
          <w:szCs w:val="24"/>
          <w:highlight w:val="none"/>
          <w:lang w:val="en-US" w:eastAsia="zh-CN"/>
        </w:rPr>
        <w:t>等一切相关费用，均已包含在我方投标报价中，不再向招标人另行主张。</w:t>
      </w:r>
    </w:p>
    <w:p w14:paraId="3AEA3AD7">
      <w:pPr>
        <w:spacing w:beforeLines="0" w:afterLines="0" w:line="360" w:lineRule="auto"/>
        <w:ind w:firstLine="480" w:firstLineChars="200"/>
        <w:jc w:val="left"/>
        <w:outlineLvl w:val="9"/>
        <w:rPr>
          <w:rFonts w:hint="default" w:ascii="仿宋" w:hAnsi="仿宋" w:eastAsia="仿宋" w:cs="仿宋"/>
          <w:color w:val="auto"/>
          <w:sz w:val="24"/>
          <w:szCs w:val="24"/>
          <w:highlight w:val="none"/>
          <w:lang w:val="en-US" w:eastAsia="zh-CN"/>
        </w:rPr>
      </w:pPr>
      <w:r>
        <w:rPr>
          <w:rFonts w:hint="default" w:ascii="仿宋" w:hAnsi="仿宋" w:eastAsia="仿宋" w:cs="仿宋"/>
          <w:color w:val="auto"/>
          <w:sz w:val="24"/>
          <w:szCs w:val="24"/>
          <w:highlight w:val="none"/>
          <w:lang w:val="en-US" w:eastAsia="zh-CN"/>
        </w:rPr>
        <w:t>二、施工环境协调</w:t>
      </w:r>
    </w:p>
    <w:p w14:paraId="4ECF158D">
      <w:pPr>
        <w:spacing w:beforeLines="0" w:afterLines="0" w:line="360" w:lineRule="auto"/>
        <w:ind w:firstLine="480" w:firstLineChars="200"/>
        <w:jc w:val="left"/>
        <w:outlineLvl w:val="9"/>
        <w:rPr>
          <w:rFonts w:hint="default" w:ascii="仿宋" w:hAnsi="仿宋" w:eastAsia="仿宋" w:cs="仿宋"/>
          <w:color w:val="auto"/>
          <w:sz w:val="24"/>
          <w:szCs w:val="24"/>
          <w:highlight w:val="none"/>
          <w:lang w:val="en-US" w:eastAsia="zh-CN"/>
        </w:rPr>
      </w:pPr>
      <w:r>
        <w:rPr>
          <w:rFonts w:hint="default" w:ascii="仿宋" w:hAnsi="仿宋" w:eastAsia="仿宋" w:cs="仿宋"/>
          <w:color w:val="auto"/>
          <w:sz w:val="24"/>
          <w:szCs w:val="24"/>
          <w:highlight w:val="none"/>
          <w:lang w:val="en-US" w:eastAsia="zh-CN"/>
        </w:rPr>
        <w:t>我方将主动与项目所在地的城管、交通、环保、街道办事处、市政管理等部门建立常态化沟通机制，制定并落实《临街施工交通疏导、降噪防尘及便民通行保障方案》，确保施工活动符合政府监管要求，最大限度减少对周边居民、行人和交通的影响。</w:t>
      </w:r>
    </w:p>
    <w:p w14:paraId="173D97F6">
      <w:pPr>
        <w:spacing w:beforeLines="0" w:afterLines="0" w:line="360" w:lineRule="auto"/>
        <w:ind w:firstLine="480" w:firstLineChars="200"/>
        <w:jc w:val="left"/>
        <w:outlineLvl w:val="9"/>
        <w:rPr>
          <w:rFonts w:hint="default" w:ascii="仿宋" w:hAnsi="仿宋" w:eastAsia="仿宋" w:cs="仿宋"/>
          <w:color w:val="auto"/>
          <w:sz w:val="24"/>
          <w:szCs w:val="24"/>
          <w:highlight w:val="none"/>
          <w:lang w:val="en-US" w:eastAsia="zh-CN"/>
        </w:rPr>
      </w:pPr>
      <w:r>
        <w:rPr>
          <w:rFonts w:hint="default" w:ascii="仿宋" w:hAnsi="仿宋" w:eastAsia="仿宋" w:cs="仿宋"/>
          <w:color w:val="auto"/>
          <w:sz w:val="24"/>
          <w:szCs w:val="24"/>
          <w:highlight w:val="none"/>
          <w:lang w:val="en-US" w:eastAsia="zh-CN"/>
        </w:rPr>
        <w:t>三、违约及责任承担</w:t>
      </w:r>
    </w:p>
    <w:p w14:paraId="03B9B66F">
      <w:pPr>
        <w:spacing w:beforeLines="0" w:afterLines="0" w:line="360" w:lineRule="auto"/>
        <w:ind w:firstLine="480" w:firstLineChars="200"/>
        <w:jc w:val="left"/>
        <w:outlineLvl w:val="9"/>
        <w:rPr>
          <w:rFonts w:hint="default" w:ascii="仿宋" w:hAnsi="仿宋" w:eastAsia="仿宋" w:cs="仿宋"/>
          <w:color w:val="auto"/>
          <w:sz w:val="24"/>
          <w:szCs w:val="24"/>
          <w:highlight w:val="none"/>
          <w:lang w:val="en-US" w:eastAsia="zh-CN"/>
        </w:rPr>
      </w:pPr>
      <w:r>
        <w:rPr>
          <w:rFonts w:hint="default" w:ascii="仿宋" w:hAnsi="仿宋" w:eastAsia="仿宋" w:cs="仿宋"/>
          <w:color w:val="auto"/>
          <w:sz w:val="24"/>
          <w:szCs w:val="24"/>
          <w:highlight w:val="none"/>
          <w:lang w:val="en-US" w:eastAsia="zh-CN"/>
        </w:rPr>
        <w:t>若因我方协调管理不到位、审批手续不全或现场管控不力，导致项目被政府主管部门责令停工、下达行政处罚，或发生周边居民群体性投诉、交通事故等负面事件，我方承诺：</w:t>
      </w:r>
    </w:p>
    <w:p w14:paraId="57158FF5">
      <w:pPr>
        <w:spacing w:beforeLines="0" w:afterLines="0" w:line="360" w:lineRule="auto"/>
        <w:ind w:firstLine="480" w:firstLineChars="200"/>
        <w:jc w:val="left"/>
        <w:outlineLvl w:val="9"/>
        <w:rPr>
          <w:rFonts w:hint="default" w:ascii="仿宋" w:hAnsi="仿宋" w:eastAsia="仿宋" w:cs="仿宋"/>
          <w:color w:val="auto"/>
          <w:sz w:val="24"/>
          <w:szCs w:val="24"/>
          <w:highlight w:val="none"/>
          <w:lang w:val="en-US" w:eastAsia="zh-CN"/>
        </w:rPr>
      </w:pPr>
      <w:r>
        <w:rPr>
          <w:rFonts w:hint="default" w:ascii="仿宋" w:hAnsi="仿宋" w:eastAsia="仿宋" w:cs="仿宋"/>
          <w:color w:val="auto"/>
          <w:sz w:val="24"/>
          <w:szCs w:val="24"/>
          <w:highlight w:val="none"/>
          <w:lang w:val="en-US" w:eastAsia="zh-CN"/>
        </w:rPr>
        <w:t>工期不予顺延，由此造成的工期延误损失由我方承担；</w:t>
      </w:r>
    </w:p>
    <w:p w14:paraId="4D551C54">
      <w:pPr>
        <w:spacing w:beforeLines="0" w:afterLines="0" w:line="360" w:lineRule="auto"/>
        <w:ind w:firstLine="480" w:firstLineChars="200"/>
        <w:jc w:val="left"/>
        <w:outlineLvl w:val="9"/>
        <w:rPr>
          <w:rFonts w:hint="default" w:ascii="仿宋" w:hAnsi="仿宋" w:eastAsia="仿宋" w:cs="仿宋"/>
          <w:color w:val="auto"/>
          <w:sz w:val="24"/>
          <w:szCs w:val="24"/>
          <w:highlight w:val="none"/>
          <w:lang w:val="en-US" w:eastAsia="zh-CN"/>
        </w:rPr>
      </w:pPr>
      <w:r>
        <w:rPr>
          <w:rFonts w:hint="default" w:ascii="仿宋" w:hAnsi="仿宋" w:eastAsia="仿宋" w:cs="仿宋"/>
          <w:color w:val="auto"/>
          <w:sz w:val="24"/>
          <w:szCs w:val="24"/>
          <w:highlight w:val="none"/>
          <w:lang w:val="en-US" w:eastAsia="zh-CN"/>
        </w:rPr>
        <w:t>每发生一次上述事件，我方接受招标人按合同约定扣除相应违约金；</w:t>
      </w:r>
    </w:p>
    <w:p w14:paraId="0C9B7947">
      <w:pPr>
        <w:spacing w:beforeLines="0" w:afterLines="0" w:line="360" w:lineRule="auto"/>
        <w:ind w:firstLine="480" w:firstLineChars="200"/>
        <w:jc w:val="left"/>
        <w:outlineLvl w:val="9"/>
        <w:rPr>
          <w:rFonts w:hint="default" w:ascii="仿宋" w:hAnsi="仿宋" w:eastAsia="仿宋" w:cs="仿宋"/>
          <w:color w:val="auto"/>
          <w:sz w:val="24"/>
          <w:szCs w:val="24"/>
          <w:highlight w:val="none"/>
          <w:lang w:val="en-US" w:eastAsia="zh-CN"/>
        </w:rPr>
      </w:pPr>
      <w:r>
        <w:rPr>
          <w:rFonts w:hint="default" w:ascii="仿宋" w:hAnsi="仿宋" w:eastAsia="仿宋" w:cs="仿宋"/>
          <w:color w:val="auto"/>
          <w:sz w:val="24"/>
          <w:szCs w:val="24"/>
          <w:highlight w:val="none"/>
          <w:lang w:val="en-US" w:eastAsia="zh-CN"/>
        </w:rPr>
        <w:t>若停工累计超过7个日历日，或一个月内发生两次及以上行政处罚，招标人有权单方面解除合同，并追究我方由此给招标人造成的全部经济损失（包括但不限于延期投入使用损失、重新招标费用等）。</w:t>
      </w:r>
    </w:p>
    <w:p w14:paraId="3CC553B5">
      <w:pPr>
        <w:spacing w:beforeLines="0" w:afterLines="0" w:line="360" w:lineRule="auto"/>
        <w:ind w:firstLine="480" w:firstLineChars="200"/>
        <w:jc w:val="left"/>
        <w:outlineLvl w:val="9"/>
        <w:rPr>
          <w:rFonts w:hint="default" w:ascii="仿宋" w:hAnsi="仿宋" w:eastAsia="仿宋" w:cs="仿宋"/>
          <w:color w:val="auto"/>
          <w:sz w:val="24"/>
          <w:szCs w:val="24"/>
          <w:highlight w:val="none"/>
          <w:lang w:val="en-US" w:eastAsia="zh-CN"/>
        </w:rPr>
      </w:pPr>
      <w:r>
        <w:rPr>
          <w:rFonts w:hint="default" w:ascii="仿宋" w:hAnsi="仿宋" w:eastAsia="仿宋" w:cs="仿宋"/>
          <w:color w:val="auto"/>
          <w:sz w:val="24"/>
          <w:szCs w:val="24"/>
          <w:highlight w:val="none"/>
          <w:lang w:val="en-US" w:eastAsia="zh-CN"/>
        </w:rPr>
        <w:t>四、真实性保证</w:t>
      </w:r>
    </w:p>
    <w:p w14:paraId="07C959F6">
      <w:pPr>
        <w:spacing w:beforeLines="0" w:afterLines="0" w:line="360" w:lineRule="auto"/>
        <w:ind w:firstLine="480" w:firstLineChars="200"/>
        <w:jc w:val="left"/>
        <w:outlineLvl w:val="9"/>
        <w:rPr>
          <w:rFonts w:hint="default" w:ascii="仿宋" w:hAnsi="仿宋" w:eastAsia="仿宋" w:cs="仿宋"/>
          <w:color w:val="auto"/>
          <w:sz w:val="24"/>
          <w:szCs w:val="24"/>
          <w:highlight w:val="none"/>
          <w:lang w:val="en-US" w:eastAsia="zh-CN"/>
        </w:rPr>
      </w:pPr>
      <w:r>
        <w:rPr>
          <w:rFonts w:hint="default" w:ascii="仿宋" w:hAnsi="仿宋" w:eastAsia="仿宋" w:cs="仿宋"/>
          <w:color w:val="auto"/>
          <w:sz w:val="24"/>
          <w:szCs w:val="24"/>
          <w:highlight w:val="none"/>
          <w:lang w:val="en-US" w:eastAsia="zh-CN"/>
        </w:rPr>
        <w:t>本承诺函真实、有效。若我方违反上述承诺，自愿接受招标人按照招标文件及合同约定作出的处理，并承担由此产生的一切法律后果。</w:t>
      </w:r>
    </w:p>
    <w:p w14:paraId="79064565">
      <w:pPr>
        <w:spacing w:beforeLines="0" w:afterLines="0" w:line="360" w:lineRule="auto"/>
        <w:ind w:firstLine="480" w:firstLineChars="200"/>
        <w:jc w:val="left"/>
        <w:outlineLvl w:val="9"/>
        <w:rPr>
          <w:rFonts w:hint="default" w:ascii="仿宋" w:hAnsi="仿宋" w:eastAsia="仿宋" w:cs="仿宋"/>
          <w:color w:val="auto"/>
          <w:sz w:val="24"/>
          <w:szCs w:val="24"/>
          <w:highlight w:val="none"/>
          <w:lang w:val="en-US" w:eastAsia="zh-CN"/>
        </w:rPr>
      </w:pPr>
    </w:p>
    <w:p w14:paraId="57C6ADF3">
      <w:pPr>
        <w:spacing w:beforeLines="0" w:afterLines="0" w:line="360" w:lineRule="auto"/>
        <w:ind w:firstLine="480" w:firstLineChars="200"/>
        <w:jc w:val="left"/>
        <w:outlineLvl w:val="9"/>
        <w:rPr>
          <w:rFonts w:hint="default" w:ascii="仿宋" w:hAnsi="仿宋" w:eastAsia="仿宋" w:cs="仿宋"/>
          <w:color w:val="auto"/>
          <w:sz w:val="24"/>
          <w:szCs w:val="24"/>
          <w:highlight w:val="none"/>
          <w:lang w:val="en-US" w:eastAsia="zh-CN"/>
        </w:rPr>
      </w:pPr>
      <w:r>
        <w:rPr>
          <w:rFonts w:hint="default" w:ascii="仿宋" w:hAnsi="仿宋" w:eastAsia="仿宋" w:cs="仿宋"/>
          <w:color w:val="auto"/>
          <w:sz w:val="24"/>
          <w:szCs w:val="24"/>
          <w:highlight w:val="none"/>
          <w:lang w:val="en-US" w:eastAsia="zh-CN"/>
        </w:rPr>
        <w:t>特此承诺。</w:t>
      </w:r>
    </w:p>
    <w:p w14:paraId="107F74E4">
      <w:pPr>
        <w:pStyle w:val="2"/>
        <w:rPr>
          <w:rFonts w:hint="default" w:ascii="仿宋" w:hAnsi="仿宋" w:eastAsia="仿宋" w:cs="仿宋"/>
          <w:color w:val="auto"/>
          <w:kern w:val="2"/>
          <w:sz w:val="24"/>
          <w:szCs w:val="20"/>
          <w:highlight w:val="none"/>
          <w:lang w:val="en-US" w:eastAsia="zh-CN" w:bidi="ar-SA"/>
        </w:rPr>
      </w:pPr>
    </w:p>
    <w:p w14:paraId="58289E85">
      <w:pPr>
        <w:pStyle w:val="5"/>
        <w:rPr>
          <w:rFonts w:hint="eastAsia" w:ascii="仿宋" w:hAnsi="仿宋" w:eastAsia="仿宋" w:cs="仿宋"/>
          <w:b/>
          <w:bCs/>
          <w:sz w:val="24"/>
          <w:highlight w:val="none"/>
          <w:lang w:val="en-US" w:eastAsia="zh-CN"/>
        </w:rPr>
      </w:pPr>
    </w:p>
    <w:p w14:paraId="04B466A2">
      <w:pPr>
        <w:pStyle w:val="5"/>
        <w:rPr>
          <w:rFonts w:hint="eastAsia" w:ascii="仿宋" w:hAnsi="仿宋" w:eastAsia="仿宋" w:cs="仿宋"/>
          <w:b/>
          <w:bCs/>
          <w:sz w:val="24"/>
          <w:highlight w:val="none"/>
          <w:lang w:val="en-US" w:eastAsia="zh-CN"/>
        </w:rPr>
      </w:pPr>
    </w:p>
    <w:p w14:paraId="212A4EFA">
      <w:pPr>
        <w:pStyle w:val="5"/>
        <w:rPr>
          <w:rFonts w:hint="eastAsia" w:ascii="仿宋" w:hAnsi="仿宋" w:eastAsia="仿宋" w:cs="仿宋"/>
          <w:b/>
          <w:bCs/>
          <w:sz w:val="24"/>
          <w:highlight w:val="none"/>
          <w:lang w:val="en-US" w:eastAsia="zh-CN"/>
        </w:rPr>
      </w:pPr>
    </w:p>
    <w:p w14:paraId="5D2CCE7E">
      <w:pPr>
        <w:pStyle w:val="5"/>
        <w:rPr>
          <w:rFonts w:hint="eastAsia" w:ascii="仿宋" w:hAnsi="仿宋" w:eastAsia="仿宋" w:cs="仿宋"/>
          <w:b/>
          <w:bCs/>
          <w:sz w:val="24"/>
          <w:highlight w:val="none"/>
          <w:lang w:val="en-US" w:eastAsia="zh-CN"/>
        </w:rPr>
      </w:pPr>
    </w:p>
    <w:p w14:paraId="3C2BEDF2">
      <w:pPr>
        <w:pStyle w:val="5"/>
        <w:rPr>
          <w:rFonts w:hint="eastAsia" w:ascii="仿宋" w:hAnsi="仿宋" w:eastAsia="仿宋" w:cs="仿宋"/>
          <w:b/>
          <w:bCs/>
          <w:sz w:val="24"/>
          <w:highlight w:val="none"/>
          <w:lang w:val="en-US" w:eastAsia="zh-CN"/>
        </w:rPr>
      </w:pPr>
    </w:p>
    <w:tbl>
      <w:tblPr>
        <w:tblStyle w:val="3"/>
        <w:tblW w:w="0" w:type="auto"/>
        <w:tblInd w:w="3794" w:type="dxa"/>
        <w:tblLayout w:type="fixed"/>
        <w:tblCellMar>
          <w:top w:w="0" w:type="dxa"/>
          <w:left w:w="108" w:type="dxa"/>
          <w:bottom w:w="0" w:type="dxa"/>
          <w:right w:w="108" w:type="dxa"/>
        </w:tblCellMar>
      </w:tblPr>
      <w:tblGrid>
        <w:gridCol w:w="2268"/>
        <w:gridCol w:w="287"/>
        <w:gridCol w:w="3115"/>
      </w:tblGrid>
      <w:tr w14:paraId="414367A2">
        <w:tblPrEx>
          <w:tblCellMar>
            <w:top w:w="0" w:type="dxa"/>
            <w:left w:w="108" w:type="dxa"/>
            <w:bottom w:w="0" w:type="dxa"/>
            <w:right w:w="108" w:type="dxa"/>
          </w:tblCellMar>
        </w:tblPrEx>
        <w:trPr>
          <w:trHeight w:val="680" w:hRule="atLeast"/>
        </w:trPr>
        <w:tc>
          <w:tcPr>
            <w:tcW w:w="2268" w:type="dxa"/>
            <w:noWrap w:val="0"/>
            <w:vAlign w:val="bottom"/>
          </w:tcPr>
          <w:p w14:paraId="11ECF1DD">
            <w:pPr>
              <w:pStyle w:val="2"/>
              <w:jc w:val="distribute"/>
              <w:rPr>
                <w:rFonts w:hint="eastAsia" w:ascii="仿宋" w:hAnsi="仿宋" w:eastAsia="仿宋"/>
                <w:b/>
                <w:sz w:val="24"/>
                <w:szCs w:val="24"/>
                <w:highlight w:val="none"/>
                <w:lang w:eastAsia="zh-CN"/>
              </w:rPr>
            </w:pPr>
            <w:r>
              <w:rPr>
                <w:rFonts w:hint="eastAsia" w:ascii="仿宋" w:hAnsi="仿宋" w:eastAsia="仿宋" w:cs="仿宋_GB2312"/>
                <w:sz w:val="24"/>
                <w:szCs w:val="24"/>
                <w:highlight w:val="none"/>
                <w:lang w:eastAsia="zh-CN"/>
              </w:rPr>
              <w:t>法定代表人或被授权代表签字或盖章</w:t>
            </w:r>
          </w:p>
        </w:tc>
        <w:tc>
          <w:tcPr>
            <w:tcW w:w="287" w:type="dxa"/>
            <w:noWrap w:val="0"/>
            <w:vAlign w:val="bottom"/>
          </w:tcPr>
          <w:p w14:paraId="0D5CC5BF">
            <w:pPr>
              <w:pStyle w:val="2"/>
              <w:rPr>
                <w:rFonts w:hint="eastAsia" w:ascii="仿宋" w:hAnsi="仿宋" w:eastAsia="仿宋" w:cs="仿宋_GB2312"/>
                <w:b/>
                <w:sz w:val="24"/>
                <w:szCs w:val="24"/>
                <w:highlight w:val="none"/>
              </w:rPr>
            </w:pPr>
            <w:r>
              <w:rPr>
                <w:rFonts w:hint="eastAsia" w:ascii="仿宋" w:hAnsi="仿宋" w:eastAsia="仿宋" w:cs="仿宋_GB2312"/>
                <w:sz w:val="24"/>
                <w:szCs w:val="24"/>
                <w:highlight w:val="none"/>
              </w:rPr>
              <w:t>：</w:t>
            </w:r>
          </w:p>
        </w:tc>
        <w:tc>
          <w:tcPr>
            <w:tcW w:w="3115" w:type="dxa"/>
            <w:noWrap w:val="0"/>
            <w:vAlign w:val="bottom"/>
          </w:tcPr>
          <w:p w14:paraId="26943A95">
            <w:pPr>
              <w:pStyle w:val="2"/>
              <w:rPr>
                <w:rFonts w:hint="eastAsia" w:ascii="仿宋" w:hAnsi="仿宋" w:eastAsia="仿宋"/>
                <w:b/>
                <w:sz w:val="24"/>
                <w:szCs w:val="24"/>
                <w:highlight w:val="none"/>
                <w:u w:val="single"/>
              </w:rPr>
            </w:pPr>
            <w:r>
              <w:rPr>
                <w:rFonts w:hint="eastAsia" w:ascii="仿宋" w:hAnsi="仿宋" w:eastAsia="仿宋"/>
                <w:sz w:val="24"/>
                <w:szCs w:val="24"/>
                <w:highlight w:val="none"/>
                <w:u w:val="single"/>
              </w:rPr>
              <w:t xml:space="preserve">                       </w:t>
            </w:r>
          </w:p>
        </w:tc>
      </w:tr>
      <w:tr w14:paraId="5C2ADD94">
        <w:tblPrEx>
          <w:tblCellMar>
            <w:top w:w="0" w:type="dxa"/>
            <w:left w:w="108" w:type="dxa"/>
            <w:bottom w:w="0" w:type="dxa"/>
            <w:right w:w="108" w:type="dxa"/>
          </w:tblCellMar>
        </w:tblPrEx>
        <w:trPr>
          <w:trHeight w:val="680" w:hRule="atLeast"/>
        </w:trPr>
        <w:tc>
          <w:tcPr>
            <w:tcW w:w="2268" w:type="dxa"/>
            <w:noWrap w:val="0"/>
            <w:vAlign w:val="bottom"/>
          </w:tcPr>
          <w:p w14:paraId="7C5A09F3">
            <w:pPr>
              <w:pStyle w:val="2"/>
              <w:jc w:val="distribute"/>
              <w:rPr>
                <w:rFonts w:hint="eastAsia" w:ascii="仿宋" w:hAnsi="仿宋" w:eastAsia="仿宋"/>
                <w:b/>
                <w:sz w:val="24"/>
                <w:szCs w:val="24"/>
                <w:highlight w:val="none"/>
              </w:rPr>
            </w:pPr>
            <w:r>
              <w:rPr>
                <w:rFonts w:hint="eastAsia" w:ascii="仿宋" w:hAnsi="仿宋" w:eastAsia="仿宋" w:cs="仿宋_GB2312"/>
                <w:sz w:val="24"/>
                <w:szCs w:val="24"/>
                <w:highlight w:val="none"/>
              </w:rPr>
              <w:t>供应商</w:t>
            </w:r>
            <w:r>
              <w:rPr>
                <w:rFonts w:hint="eastAsia" w:ascii="仿宋" w:hAnsi="仿宋" w:eastAsia="仿宋" w:cs="仿宋_GB2312"/>
                <w:sz w:val="24"/>
                <w:szCs w:val="24"/>
                <w:highlight w:val="none"/>
                <w:lang w:val="en-US" w:eastAsia="zh-CN"/>
              </w:rPr>
              <w:t>公章</w:t>
            </w:r>
            <w:bookmarkStart w:id="0" w:name="_GoBack"/>
            <w:bookmarkEnd w:id="0"/>
          </w:p>
        </w:tc>
        <w:tc>
          <w:tcPr>
            <w:tcW w:w="287" w:type="dxa"/>
            <w:noWrap w:val="0"/>
            <w:vAlign w:val="bottom"/>
          </w:tcPr>
          <w:p w14:paraId="5F5F84F6">
            <w:pPr>
              <w:pStyle w:val="2"/>
              <w:rPr>
                <w:rFonts w:hint="eastAsia" w:ascii="仿宋" w:hAnsi="仿宋" w:eastAsia="仿宋" w:cs="仿宋_GB2312"/>
                <w:b/>
                <w:sz w:val="24"/>
                <w:szCs w:val="24"/>
                <w:highlight w:val="none"/>
              </w:rPr>
            </w:pPr>
            <w:r>
              <w:rPr>
                <w:rFonts w:hint="eastAsia" w:ascii="仿宋" w:hAnsi="仿宋" w:eastAsia="仿宋" w:cs="仿宋_GB2312"/>
                <w:sz w:val="24"/>
                <w:szCs w:val="24"/>
                <w:highlight w:val="none"/>
              </w:rPr>
              <w:t>：</w:t>
            </w:r>
          </w:p>
        </w:tc>
        <w:tc>
          <w:tcPr>
            <w:tcW w:w="3115" w:type="dxa"/>
            <w:noWrap w:val="0"/>
            <w:vAlign w:val="bottom"/>
          </w:tcPr>
          <w:p w14:paraId="20ED1D54">
            <w:pPr>
              <w:pStyle w:val="2"/>
              <w:rPr>
                <w:rFonts w:hint="eastAsia" w:ascii="仿宋" w:hAnsi="仿宋" w:eastAsia="仿宋"/>
                <w:b/>
                <w:sz w:val="24"/>
                <w:szCs w:val="24"/>
                <w:highlight w:val="none"/>
                <w:u w:val="single"/>
              </w:rPr>
            </w:pPr>
            <w:r>
              <w:rPr>
                <w:rFonts w:hint="eastAsia" w:ascii="仿宋" w:hAnsi="仿宋" w:eastAsia="仿宋"/>
                <w:sz w:val="24"/>
                <w:szCs w:val="24"/>
                <w:highlight w:val="none"/>
                <w:u w:val="single"/>
              </w:rPr>
              <w:t xml:space="preserve">                     </w:t>
            </w:r>
            <w:r>
              <w:rPr>
                <w:rFonts w:ascii="仿宋" w:hAnsi="仿宋" w:eastAsia="仿宋"/>
                <w:sz w:val="24"/>
                <w:szCs w:val="24"/>
                <w:highlight w:val="none"/>
                <w:u w:val="single"/>
              </w:rPr>
              <w:t xml:space="preserve">  </w:t>
            </w:r>
          </w:p>
        </w:tc>
      </w:tr>
      <w:tr w14:paraId="7DD847E2">
        <w:tblPrEx>
          <w:tblCellMar>
            <w:top w:w="0" w:type="dxa"/>
            <w:left w:w="108" w:type="dxa"/>
            <w:bottom w:w="0" w:type="dxa"/>
            <w:right w:w="108" w:type="dxa"/>
          </w:tblCellMar>
        </w:tblPrEx>
        <w:trPr>
          <w:trHeight w:val="680" w:hRule="atLeast"/>
        </w:trPr>
        <w:tc>
          <w:tcPr>
            <w:tcW w:w="2268" w:type="dxa"/>
            <w:noWrap w:val="0"/>
            <w:vAlign w:val="bottom"/>
          </w:tcPr>
          <w:p w14:paraId="3A570FB7">
            <w:pPr>
              <w:pStyle w:val="2"/>
              <w:jc w:val="distribute"/>
              <w:rPr>
                <w:rFonts w:hint="eastAsia" w:ascii="仿宋" w:hAnsi="仿宋" w:eastAsia="仿宋"/>
                <w:b/>
                <w:sz w:val="24"/>
                <w:szCs w:val="24"/>
                <w:highlight w:val="none"/>
              </w:rPr>
            </w:pPr>
            <w:r>
              <w:rPr>
                <w:rFonts w:hint="eastAsia" w:ascii="仿宋" w:hAnsi="仿宋" w:eastAsia="仿宋" w:cs="仿宋_GB2312"/>
                <w:sz w:val="24"/>
                <w:szCs w:val="24"/>
                <w:highlight w:val="none"/>
              </w:rPr>
              <w:t>日期</w:t>
            </w:r>
          </w:p>
        </w:tc>
        <w:tc>
          <w:tcPr>
            <w:tcW w:w="287" w:type="dxa"/>
            <w:noWrap w:val="0"/>
            <w:vAlign w:val="bottom"/>
          </w:tcPr>
          <w:p w14:paraId="534A6327">
            <w:pPr>
              <w:pStyle w:val="2"/>
              <w:rPr>
                <w:rFonts w:hint="eastAsia" w:ascii="仿宋" w:hAnsi="仿宋" w:eastAsia="仿宋" w:cs="仿宋_GB2312"/>
                <w:b/>
                <w:sz w:val="24"/>
                <w:szCs w:val="24"/>
                <w:highlight w:val="none"/>
              </w:rPr>
            </w:pPr>
            <w:r>
              <w:rPr>
                <w:rFonts w:hint="eastAsia" w:ascii="仿宋" w:hAnsi="仿宋" w:eastAsia="仿宋" w:cs="仿宋_GB2312"/>
                <w:sz w:val="24"/>
                <w:szCs w:val="24"/>
                <w:highlight w:val="none"/>
              </w:rPr>
              <w:t>：</w:t>
            </w:r>
          </w:p>
        </w:tc>
        <w:tc>
          <w:tcPr>
            <w:tcW w:w="3115" w:type="dxa"/>
            <w:noWrap w:val="0"/>
            <w:vAlign w:val="bottom"/>
          </w:tcPr>
          <w:p w14:paraId="6EAEAC7B">
            <w:pPr>
              <w:pStyle w:val="2"/>
              <w:rPr>
                <w:rFonts w:hint="eastAsia" w:ascii="仿宋" w:hAnsi="仿宋" w:eastAsia="仿宋"/>
                <w:b/>
                <w:sz w:val="24"/>
                <w:szCs w:val="24"/>
                <w:highlight w:val="none"/>
                <w:u w:val="single"/>
              </w:rPr>
            </w:pPr>
            <w:r>
              <w:rPr>
                <w:rFonts w:hint="eastAsia" w:ascii="仿宋" w:hAnsi="仿宋" w:eastAsia="仿宋"/>
                <w:sz w:val="24"/>
                <w:szCs w:val="24"/>
                <w:highlight w:val="none"/>
                <w:u w:val="single"/>
              </w:rPr>
              <w:t xml:space="preserve">                       </w:t>
            </w:r>
          </w:p>
        </w:tc>
      </w:tr>
    </w:tbl>
    <w:p w14:paraId="06DB1CDA">
      <w:pPr>
        <w:pStyle w:val="5"/>
        <w:rPr>
          <w:rFonts w:hint="eastAsia" w:ascii="仿宋" w:hAnsi="仿宋" w:eastAsia="仿宋" w:cs="仿宋"/>
          <w:b/>
          <w:bCs/>
          <w:sz w:val="24"/>
          <w:highlight w:val="none"/>
          <w:lang w:val="en-US" w:eastAsia="zh-CN"/>
        </w:rPr>
      </w:pPr>
    </w:p>
    <w:p w14:paraId="5BB75F85">
      <w:pPr>
        <w:pStyle w:val="5"/>
        <w:rPr>
          <w:rFonts w:hint="eastAsia" w:ascii="仿宋" w:hAnsi="仿宋" w:eastAsia="仿宋" w:cs="仿宋"/>
          <w:b/>
          <w:bCs/>
          <w:sz w:val="24"/>
          <w:highlight w:val="none"/>
          <w:lang w:val="en-US" w:eastAsia="zh-CN"/>
        </w:rPr>
      </w:pPr>
    </w:p>
    <w:p w14:paraId="72F91FD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FA4E73"/>
    <w:rsid w:val="7B8B64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rFonts w:ascii="微软雅黑" w:hAnsi="微软雅黑" w:eastAsia="微软雅黑" w:cs="微软雅黑"/>
      <w:sz w:val="31"/>
      <w:szCs w:val="31"/>
    </w:rPr>
  </w:style>
  <w:style w:type="paragraph" w:customStyle="1" w:styleId="5">
    <w:name w:val="Default"/>
    <w:qFormat/>
    <w:uiPriority w:val="0"/>
    <w:pPr>
      <w:widowControl w:val="0"/>
      <w:autoSpaceDE w:val="0"/>
      <w:autoSpaceDN w:val="0"/>
      <w:adjustRightInd w:val="0"/>
    </w:pPr>
    <w:rPr>
      <w:rFonts w:ascii="黑体" w:hAnsi="Calibri" w:eastAsia="黑体" w:cs="黑体"/>
      <w:color w:val="000000"/>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694</Words>
  <Characters>709</Characters>
  <Lines>0</Lines>
  <Paragraphs>0</Paragraphs>
  <TotalTime>0</TotalTime>
  <ScaleCrop>false</ScaleCrop>
  <LinksUpToDate>false</LinksUpToDate>
  <CharactersWithSpaces>778</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2026-04-17T09:20:00Z</dcterms:created>
  <dc:creator>Administrator</dc:creator>
  <cp:lastModifiedBy>夏日微凉</cp:lastModifiedBy>
  <dcterms:modified xsi:type="dcterms:W3CDTF">2026-04-17T09:25:55Z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eyJoZGlkIjoiNjc0ZjhjMTdhMzRiZWE0ZWJlYzdmZjM1NmIxYzE0OTMiLCJ1c2VySWQiOiIyNTE3NDAxMDAifQ==</vt:lpwstr>
  </property>
  <property fmtid="{D5CDD505-2E9C-101B-9397-08002B2CF9AE}" pid="4" name="ICV">
    <vt:lpwstr>AB76D91BE78A4AF0BBFAEC72D7AD4B5E_12</vt:lpwstr>
  </property>
</Properties>
</file>