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版本号：LZBE2026-26320260416001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中心重要信息系统网络安全运维项目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LZBE2026-263</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中心重要信息系统网络安全运维项目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LZBE2026-263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中心重要信息系统网络安全运维项目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项目预算为390万元，由重要信息系统网络安全运维（125万元）、安全设备特征库升级（138万元）、高速公路联网收费省级中心系统数据异地备份服务（85.00万元）和ETC发行服务系统数据异地备份服务（42.00万元）四部分组成，简要技术要求、用途：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1、具有独立承担民事责任能力的法人、其他组织或自然人：法人或者其他组织提供营业执照等证明文件，自然人提供身份证件，投标人需在项目电子化交易系统中按要求上传相应证明文件并进行电子签章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投标人提供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p>
      <w:pPr>
        <w:pStyle w:val="null3"/>
      </w:pPr>
      <w:r>
        <w:rPr>
          <w:rFonts w:ascii="仿宋_GB2312" w:hAnsi="仿宋_GB2312" w:cs="仿宋_GB2312" w:eastAsia="仿宋_GB2312"/>
        </w:rPr>
        <w:t>3、财务状况报告：投标人提供2024或2025年度经审计的财务审计报告（事业法人可提供部门决算报告）；或投标人基本账户银行出具的资信证明；或提供专业担保机构出具的投标担保函，投标人需在项目电子化交易系统中按要求上传相应证明文件</w:t>
      </w:r>
    </w:p>
    <w:p>
      <w:pPr>
        <w:pStyle w:val="null3"/>
      </w:pPr>
      <w:r>
        <w:rPr>
          <w:rFonts w:ascii="仿宋_GB2312" w:hAnsi="仿宋_GB2312" w:cs="仿宋_GB2312" w:eastAsia="仿宋_GB2312"/>
        </w:rPr>
        <w:t>4、参加本次政府采购活动前3年内在经营活动中没有重大违法记录的书面声明：投标人需提供参加本次政府采购活动前3年内在经营活动中没有重大违法记录的书面声明并进行电子签章。</w:t>
      </w:r>
    </w:p>
    <w:p>
      <w:pPr>
        <w:pStyle w:val="null3"/>
      </w:pPr>
      <w:r>
        <w:rPr>
          <w:rFonts w:ascii="仿宋_GB2312" w:hAnsi="仿宋_GB2312" w:cs="仿宋_GB2312" w:eastAsia="仿宋_GB2312"/>
        </w:rPr>
        <w:t>5、具有履行合同所必需的设备和专业技术能力书面声明函：投标人需提供具有履行合同所必需的设备和专业技术能力书面声明函并进行电子签章。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p>
      <w:pPr>
        <w:pStyle w:val="null3"/>
      </w:pPr>
      <w:r>
        <w:rPr>
          <w:rFonts w:ascii="仿宋_GB2312" w:hAnsi="仿宋_GB2312" w:cs="仿宋_GB2312" w:eastAsia="仿宋_GB2312"/>
        </w:rPr>
        <w:t>7、法定代表人授权书：法定代表人授权书及被授权人身份证明。（法定代表人直接投标 只须提供其身份证明）</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银行账号：30201278018360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参照国家计委颁布的《招标代理服务收费管理暂行办法》（计价格[2002]1980号）及发改办价格[2003]857号文件的规定标准下浮12%收取。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项目履约验收主体为采购人，验收工作流程为供应商提出验收申请之日起30日内，由采购人组织验收工作。本项目为一次性验收，采购人严格按照招标文件、投标文件和合同约定内容进行履约验收。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联系人：吴岳、陈钊</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地址：陕西省西安市高新区太白南路181号A座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预算为390万元，由重要信息系统网络安全运维（125万元）、安全设备特征库升级（138万元）、高速公路联网收费省级中心系统数据异地备份服务（85.00万元）和ETC发行服务系统数据异地备份服务（42.00万元）四部分组成，简要技术要求、用途：详见招标文件。</w:t>
      </w:r>
    </w:p>
    <w:p>
      <w:pPr>
        <w:pStyle w:val="null3"/>
        <w:ind w:firstLine="480"/>
      </w:pPr>
      <w:r>
        <w:rPr>
          <w:rFonts w:ascii="仿宋_GB2312" w:hAnsi="仿宋_GB2312" w:cs="仿宋_GB2312" w:eastAsia="仿宋_GB2312"/>
        </w:rPr>
        <w:t>★该项目预算为390万元，由重要信息系统网络安全运维（最高限价：125万元）、安全设备特征库升级（最高限价：138万元）、高速公路联网收费省级中心系统数据异地备份服务（最高限价：85.00万元）和ETC发行服务系统数据异地备份服务（最高限价：42.00万元）四部分组成。投标人投标报价不得超过项目总预算，四部分报价不得超过单项最高限价，凡报价超过预算或最高限价的将按未响应招标文件实质性要求处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3,900,000.00</w:t>
      </w:r>
    </w:p>
    <w:p>
      <w:pPr>
        <w:pStyle w:val="null3"/>
      </w:pPr>
      <w:r>
        <w:rPr>
          <w:rFonts w:ascii="仿宋_GB2312" w:hAnsi="仿宋_GB2312" w:cs="仿宋_GB2312" w:eastAsia="仿宋_GB2312"/>
        </w:rPr>
        <w:t>采购包最高限价（元）: 3,900,000.00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中心重要信息系统网络安全运维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标的名称：中心重要信息系统网络安全运维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0"/>
              </w:rPr>
              <w:t>（一）基本情况</w:t>
            </w:r>
          </w:p>
          <w:p>
            <w:pPr>
              <w:pStyle w:val="null3"/>
              <w:ind w:firstLine="400"/>
            </w:pPr>
            <w:r>
              <w:rPr>
                <w:rFonts w:ascii="仿宋_GB2312" w:hAnsi="仿宋_GB2312" w:cs="仿宋_GB2312" w:eastAsia="仿宋_GB2312"/>
                <w:sz w:val="20"/>
              </w:rPr>
              <w:t>该项目预算为</w:t>
            </w:r>
            <w:r>
              <w:rPr>
                <w:rFonts w:ascii="仿宋_GB2312" w:hAnsi="仿宋_GB2312" w:cs="仿宋_GB2312" w:eastAsia="仿宋_GB2312"/>
                <w:sz w:val="20"/>
              </w:rPr>
              <w:t>390万元，由重要信息系统网络安全运维（125万元）、安全设备特征库升级（138万元）、高速公路联网收费省级中心系统数据异地备份服务（85.00万元）和ETC发行服务系统数据异地备份服务（42.00万元）四部分组成。</w:t>
            </w:r>
          </w:p>
          <w:p>
            <w:pPr>
              <w:pStyle w:val="null3"/>
              <w:ind w:firstLine="400"/>
            </w:pPr>
            <w:r>
              <w:rPr>
                <w:rFonts w:ascii="仿宋_GB2312" w:hAnsi="仿宋_GB2312" w:cs="仿宋_GB2312" w:eastAsia="仿宋_GB2312"/>
                <w:sz w:val="20"/>
              </w:rPr>
              <w:t>（二）服务范围</w:t>
            </w:r>
          </w:p>
          <w:p>
            <w:pPr>
              <w:pStyle w:val="null3"/>
              <w:ind w:firstLine="400"/>
            </w:pPr>
            <w:r>
              <w:rPr>
                <w:rFonts w:ascii="仿宋_GB2312" w:hAnsi="仿宋_GB2312" w:cs="仿宋_GB2312" w:eastAsia="仿宋_GB2312"/>
                <w:sz w:val="20"/>
              </w:rPr>
              <w:t>1.重要信息系统网络安全运维</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对高速公路联网收费省级中心系统、高速公路网综合监控省级中心系统进行专业安全服务和排查整改；对高速公路省级视频云联网监测系统、交通服务热线12122系统、12328交通运输服务监督电话系统进行专业安全服务，并对安全设备（详见维护清单）问题进行排查整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对高速公路联网收费省级中心系统、高速公路网综合监控省级中心系统、高速公路省级视频云联网监测系统、交通服务热线12122系统、12328交通运输服务监督电话系统5个系统的安全设备（详见维护清单）进行日常安全运维服务。</w:t>
            </w:r>
          </w:p>
          <w:p>
            <w:pPr>
              <w:pStyle w:val="null3"/>
              <w:ind w:firstLine="400"/>
            </w:pPr>
            <w:r>
              <w:rPr>
                <w:rFonts w:ascii="仿宋_GB2312" w:hAnsi="仿宋_GB2312" w:cs="仿宋_GB2312" w:eastAsia="仿宋_GB2312"/>
                <w:sz w:val="20"/>
              </w:rPr>
              <w:t>2.安全设备特征库升级。对高速公路联网收费省级中心系统、高速公路网综合监控省级中心系统、高速公路省级视频云联网监测系统、交通服务热线12122系统、12328交通运输服务监督电话系统5个系统进行1年授权升级，确保安全设备特征库更新至最新版本。</w:t>
            </w:r>
          </w:p>
          <w:p>
            <w:pPr>
              <w:pStyle w:val="null3"/>
              <w:ind w:firstLine="400"/>
            </w:pPr>
            <w:r>
              <w:rPr>
                <w:rFonts w:ascii="仿宋_GB2312" w:hAnsi="仿宋_GB2312" w:cs="仿宋_GB2312" w:eastAsia="仿宋_GB2312"/>
                <w:sz w:val="20"/>
              </w:rPr>
              <w:t>3.高速公路联网收费省级中心系统和高速公路ETC发行服务系统数据异地备份。对系统数据进行异地备份，确保系统遭受攻击或损坏时，能尽快恢复数据，将业务损失降至最低。</w:t>
            </w:r>
          </w:p>
          <w:p>
            <w:pPr>
              <w:pStyle w:val="null3"/>
              <w:ind w:firstLine="400"/>
            </w:pPr>
            <w:r>
              <w:rPr>
                <w:rFonts w:ascii="仿宋_GB2312" w:hAnsi="仿宋_GB2312" w:cs="仿宋_GB2312" w:eastAsia="仿宋_GB2312"/>
                <w:sz w:val="20"/>
              </w:rPr>
              <w:t>（三）服务依据</w:t>
            </w:r>
          </w:p>
          <w:p>
            <w:pPr>
              <w:pStyle w:val="null3"/>
              <w:ind w:firstLine="400"/>
            </w:pPr>
            <w:r>
              <w:rPr>
                <w:rFonts w:ascii="仿宋_GB2312" w:hAnsi="仿宋_GB2312" w:cs="仿宋_GB2312" w:eastAsia="仿宋_GB2312"/>
                <w:sz w:val="20"/>
              </w:rPr>
              <w:t>1.《中华人民共和国网络安全法》；</w:t>
            </w:r>
          </w:p>
          <w:p>
            <w:pPr>
              <w:pStyle w:val="null3"/>
              <w:ind w:firstLine="400"/>
            </w:pPr>
            <w:r>
              <w:rPr>
                <w:rFonts w:ascii="仿宋_GB2312" w:hAnsi="仿宋_GB2312" w:cs="仿宋_GB2312" w:eastAsia="仿宋_GB2312"/>
                <w:sz w:val="20"/>
              </w:rPr>
              <w:t>2.《信息安全技术 网络安全等级保护基本要求》（GB/T 22239-2019）；</w:t>
            </w:r>
          </w:p>
          <w:p>
            <w:pPr>
              <w:pStyle w:val="null3"/>
              <w:ind w:firstLine="400"/>
            </w:pPr>
            <w:r>
              <w:rPr>
                <w:rFonts w:ascii="仿宋_GB2312" w:hAnsi="仿宋_GB2312" w:cs="仿宋_GB2312" w:eastAsia="仿宋_GB2312"/>
                <w:sz w:val="20"/>
              </w:rPr>
              <w:t>3.《收费公路联网收费系统网络安全管理暂行办法》（交科技发〔2019〕86号）；</w:t>
            </w:r>
          </w:p>
          <w:p>
            <w:pPr>
              <w:pStyle w:val="null3"/>
              <w:ind w:firstLine="400"/>
            </w:pPr>
            <w:r>
              <w:rPr>
                <w:rFonts w:ascii="仿宋_GB2312" w:hAnsi="仿宋_GB2312" w:cs="仿宋_GB2312" w:eastAsia="仿宋_GB2312"/>
                <w:sz w:val="20"/>
              </w:rPr>
              <w:t>4.《陕西省交通运输厅网络安全管理暂行办法》（陕交发〔2019〕12号）；</w:t>
            </w:r>
          </w:p>
          <w:p>
            <w:pPr>
              <w:pStyle w:val="null3"/>
              <w:ind w:firstLine="400"/>
            </w:pPr>
            <w:r>
              <w:rPr>
                <w:rFonts w:ascii="仿宋_GB2312" w:hAnsi="仿宋_GB2312" w:cs="仿宋_GB2312" w:eastAsia="仿宋_GB2312"/>
                <w:sz w:val="20"/>
              </w:rPr>
              <w:t>5.《陕西省高速公路联网收费系统网络安全总体方案》（陕交发〔2019〕88号）；</w:t>
            </w:r>
          </w:p>
          <w:p>
            <w:pPr>
              <w:pStyle w:val="null3"/>
              <w:ind w:firstLine="400"/>
            </w:pPr>
            <w:r>
              <w:rPr>
                <w:rFonts w:ascii="仿宋_GB2312" w:hAnsi="仿宋_GB2312" w:cs="仿宋_GB2312" w:eastAsia="仿宋_GB2312"/>
                <w:sz w:val="20"/>
              </w:rPr>
              <w:t>6.收费公路联网收费系统运维工作指南（暂行）。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2"/>
            </w:pPr>
            <w:r>
              <w:rPr>
                <w:rFonts w:ascii="仿宋_GB2312" w:hAnsi="仿宋_GB2312" w:cs="仿宋_GB2312" w:eastAsia="仿宋_GB2312"/>
                <w:sz w:val="20"/>
                <w:b/>
              </w:rPr>
              <w:t>（一）重要信息系统网络安全运维</w:t>
            </w:r>
          </w:p>
          <w:p>
            <w:pPr>
              <w:pStyle w:val="null3"/>
              <w:ind w:firstLine="400"/>
            </w:pPr>
            <w:r>
              <w:rPr>
                <w:rFonts w:ascii="仿宋_GB2312" w:hAnsi="仿宋_GB2312" w:cs="仿宋_GB2312" w:eastAsia="仿宋_GB2312"/>
                <w:sz w:val="20"/>
              </w:rPr>
              <w:t>为保障采购人重要信息系统安全、稳定运行，按照国家信息安全等级保护制度要求，依据部、省相关信息安全政策、技术标准及安全文件要求，结合系统业务实际情况及安全现状，对采购人重要信息系统提供安全运维服务。</w:t>
            </w:r>
          </w:p>
          <w:p>
            <w:pPr>
              <w:pStyle w:val="null3"/>
              <w:ind w:firstLine="400"/>
            </w:pPr>
            <w:r>
              <w:rPr>
                <w:rFonts w:ascii="仿宋_GB2312" w:hAnsi="仿宋_GB2312" w:cs="仿宋_GB2312" w:eastAsia="仿宋_GB2312"/>
                <w:sz w:val="20"/>
              </w:rPr>
              <w:t>1.专业安全服务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1）漏洞扫描</w:t>
            </w:r>
          </w:p>
          <w:p>
            <w:pPr>
              <w:pStyle w:val="null3"/>
              <w:ind w:firstLine="400"/>
            </w:pPr>
            <w:r>
              <w:rPr>
                <w:rFonts w:ascii="仿宋_GB2312" w:hAnsi="仿宋_GB2312" w:cs="仿宋_GB2312" w:eastAsia="仿宋_GB2312"/>
                <w:sz w:val="20"/>
              </w:rPr>
              <w:t>每季度定期采用漏洞扫描工具，完成对系统的网络设备、安全设备、服务器、虚拟化主机、终端设备等资产的安全扫描工作，并根据扫描结果形成漏洞跟进表，协助采购人完成安全漏洞整改，并根据扫描结果进行分析，每季度提供一份系统安全扫描报告。</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2）渗透测试</w:t>
            </w:r>
          </w:p>
          <w:p>
            <w:pPr>
              <w:pStyle w:val="null3"/>
              <w:ind w:firstLine="400"/>
            </w:pPr>
            <w:r>
              <w:rPr>
                <w:rFonts w:ascii="仿宋_GB2312" w:hAnsi="仿宋_GB2312" w:cs="仿宋_GB2312" w:eastAsia="仿宋_GB2312"/>
                <w:sz w:val="20"/>
              </w:rPr>
              <w:t>应通过现场结合远程的方式，模拟黑客从外网、内网对系统开展至少</w:t>
            </w:r>
            <w:r>
              <w:rPr>
                <w:rFonts w:ascii="仿宋_GB2312" w:hAnsi="仿宋_GB2312" w:cs="仿宋_GB2312" w:eastAsia="仿宋_GB2312"/>
                <w:sz w:val="20"/>
              </w:rPr>
              <w:t>1次渗透测试工作，测试完毕生成详细的渗透测试报告，并提供改进建议。实施人员需熟练掌握渗透测试技能，具备丰富的渗透测试经验，渗透测试过程中不得进行影响业务系统稳定运行的操作。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3）配置核查</w:t>
            </w:r>
          </w:p>
          <w:p>
            <w:pPr>
              <w:pStyle w:val="null3"/>
              <w:ind w:firstLine="400"/>
            </w:pPr>
            <w:r>
              <w:rPr>
                <w:rFonts w:ascii="仿宋_GB2312" w:hAnsi="仿宋_GB2312" w:cs="仿宋_GB2312" w:eastAsia="仿宋_GB2312"/>
                <w:sz w:val="20"/>
              </w:rPr>
              <w:t>通过配置核查工具或人工的方式对系统安全设备、服务器、终端电脑等设备的安全配置进行核查，及时发现不合理、不安全的安全配置，持续完善安全配置，加固整改系统安全隐患。加强风险隐患排查管控，对官方公布或部、省、公安、网信等部门通报的安全风险隐患以及预警及时组织核查处置，形成风险隐患排查整改清单。</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4）系统上线安全检测</w:t>
            </w:r>
          </w:p>
          <w:p>
            <w:pPr>
              <w:pStyle w:val="null3"/>
              <w:ind w:firstLine="400"/>
            </w:pPr>
            <w:r>
              <w:rPr>
                <w:rFonts w:ascii="仿宋_GB2312" w:hAnsi="仿宋_GB2312" w:cs="仿宋_GB2312" w:eastAsia="仿宋_GB2312"/>
                <w:sz w:val="20"/>
              </w:rPr>
              <w:t>服务系统若有增加、升级新的业务功能等，应在功能上线前进行安全检测，检测内容包括漏洞扫描、配置核查等，出具相应上线安全检测报告，并协助完成整改。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5）App（公众号、小程序）安全评估</w:t>
            </w:r>
          </w:p>
          <w:p>
            <w:pPr>
              <w:pStyle w:val="null3"/>
              <w:ind w:firstLine="400"/>
            </w:pPr>
            <w:r>
              <w:rPr>
                <w:rFonts w:ascii="仿宋_GB2312" w:hAnsi="仿宋_GB2312" w:cs="仿宋_GB2312" w:eastAsia="仿宋_GB2312"/>
                <w:sz w:val="20"/>
              </w:rPr>
              <w:t>应对服务系统相关联的现有</w:t>
            </w:r>
            <w:r>
              <w:rPr>
                <w:rFonts w:ascii="仿宋_GB2312" w:hAnsi="仿宋_GB2312" w:cs="仿宋_GB2312" w:eastAsia="仿宋_GB2312"/>
                <w:sz w:val="20"/>
              </w:rPr>
              <w:t>APP（公众号、小程序等）及新增APP（公众号、小程序等）应用进行安全扫描、检测，有效评估存在的安全隐患，测试完毕应生成APP（公众号、小程序等）应用安全检测报告。实施人员需熟练掌握移动APP（公众号、小程序等）的测试技能，应具有针对各类APP（公众号、小程序等）进行安全评估的丰富经验，安全评估过程中不得进行影响业务系统稳定运行的操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6）应急处置（含重要活动护网工作）</w:t>
            </w:r>
          </w:p>
          <w:p>
            <w:pPr>
              <w:pStyle w:val="null3"/>
              <w:ind w:firstLine="400"/>
            </w:pPr>
            <w:r>
              <w:rPr>
                <w:rFonts w:ascii="仿宋_GB2312" w:hAnsi="仿宋_GB2312" w:cs="仿宋_GB2312" w:eastAsia="仿宋_GB2312"/>
                <w:sz w:val="20"/>
              </w:rPr>
              <w:t>应针对系统制定应急响应快速服务流程，包括设备故障响应和安全事件响应。日常故障或一般事件</w:t>
            </w:r>
            <w:r>
              <w:rPr>
                <w:rFonts w:ascii="仿宋_GB2312" w:hAnsi="仿宋_GB2312" w:cs="仿宋_GB2312" w:eastAsia="仿宋_GB2312"/>
                <w:sz w:val="20"/>
              </w:rPr>
              <w:t>4小时内响应处置，重大故障或重大事件以上2小时响应处置。在发生安全事件时，应提供安全技术团队对事件进行分析研判，采取应急措施保障业务正常运行，并协助采购人快速协调相关厂家解决设备故障问题。重大会议、重大活动、节假日及专项护网期间，加强值班值守，强化安全防护措施，采取技术手段监测网络安全状况，严防网络安全攻击行为。</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7）安全演练</w:t>
            </w:r>
          </w:p>
          <w:p>
            <w:pPr>
              <w:pStyle w:val="null3"/>
              <w:ind w:firstLine="400"/>
            </w:pPr>
            <w:r>
              <w:rPr>
                <w:rFonts w:ascii="仿宋_GB2312" w:hAnsi="仿宋_GB2312" w:cs="仿宋_GB2312" w:eastAsia="仿宋_GB2312"/>
                <w:sz w:val="20"/>
              </w:rPr>
              <w:t>包括但不限于应急演练或攻防演练（攻击测试），制定网络安全演练方案，协助开展网络安全演练活动。根据演练活动结果，完善安全措施，服务期内提供不少于一次网络安全演练活动，并保留安全演练记录。</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8）安全检查</w:t>
            </w:r>
          </w:p>
          <w:p>
            <w:pPr>
              <w:pStyle w:val="null3"/>
              <w:ind w:firstLine="400"/>
            </w:pPr>
            <w:r>
              <w:rPr>
                <w:rFonts w:ascii="仿宋_GB2312" w:hAnsi="仿宋_GB2312" w:cs="仿宋_GB2312" w:eastAsia="仿宋_GB2312"/>
                <w:sz w:val="20"/>
              </w:rPr>
              <w:t>应配合采购人完成全省联网系统不少于</w:t>
            </w:r>
            <w:r>
              <w:rPr>
                <w:rFonts w:ascii="仿宋_GB2312" w:hAnsi="仿宋_GB2312" w:cs="仿宋_GB2312" w:eastAsia="仿宋_GB2312"/>
                <w:sz w:val="20"/>
              </w:rPr>
              <w:t>1次的网络安全检查服务，及时发现网络安全管理落实及安全技术实施中存在的不足及风险，出具安全检查相应专项报告，对检查中发现的完全问题，应给出合理的安全整改建议。本项要求安全实施人员至少2名工程师（具体人员配备按照实际抽检工作量予以增加），且需理解高速公路联网系统安全规范、检查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9）安全培训</w:t>
            </w:r>
          </w:p>
          <w:p>
            <w:pPr>
              <w:pStyle w:val="null3"/>
              <w:ind w:firstLine="400"/>
            </w:pPr>
            <w:r>
              <w:rPr>
                <w:rFonts w:ascii="仿宋_GB2312" w:hAnsi="仿宋_GB2312" w:cs="仿宋_GB2312" w:eastAsia="仿宋_GB2312"/>
                <w:sz w:val="20"/>
              </w:rPr>
              <w:t>对系统安全运维人员和安全管理人员进行网络安全培训，完成网络安全政策宣贯，提高网络安全意识，提升网络安全技能。培训包括全省联网系统网络安全培训和采购人</w:t>
            </w:r>
            <w:r>
              <w:rPr>
                <w:rFonts w:ascii="仿宋_GB2312" w:hAnsi="仿宋_GB2312" w:cs="仿宋_GB2312" w:eastAsia="仿宋_GB2312"/>
                <w:sz w:val="20"/>
              </w:rPr>
              <w:t>1人次CISP认证培训，同时应保障已获得证书的有效延续认证，确保长期有效。</w:t>
            </w:r>
          </w:p>
          <w:p>
            <w:pPr>
              <w:pStyle w:val="null3"/>
              <w:ind w:firstLine="400"/>
            </w:pPr>
            <w:r>
              <w:rPr>
                <w:rFonts w:ascii="仿宋_GB2312" w:hAnsi="仿宋_GB2312" w:cs="仿宋_GB2312" w:eastAsia="仿宋_GB2312"/>
                <w:sz w:val="20"/>
              </w:rPr>
              <w:t>全省联网系统网络安全培训总时间</w:t>
            </w:r>
            <w:r>
              <w:rPr>
                <w:rFonts w:ascii="仿宋_GB2312" w:hAnsi="仿宋_GB2312" w:cs="仿宋_GB2312" w:eastAsia="仿宋_GB2312"/>
                <w:sz w:val="20"/>
              </w:rPr>
              <w:t>2天，参加人员不少于70人不多于100人，应制定有针对性的信息安全培训教材，明确培训课程，讲授安排。本次培训服务费用含讲课费、教室租用、教材、食宿。</w:t>
            </w:r>
          </w:p>
          <w:p>
            <w:pPr>
              <w:pStyle w:val="null3"/>
              <w:ind w:firstLine="400"/>
            </w:pPr>
            <w:r>
              <w:rPr>
                <w:rFonts w:ascii="仿宋_GB2312" w:hAnsi="仿宋_GB2312" w:cs="仿宋_GB2312" w:eastAsia="仿宋_GB2312"/>
                <w:sz w:val="20"/>
              </w:rPr>
              <w:t>采购人</w:t>
            </w:r>
            <w:r>
              <w:rPr>
                <w:rFonts w:ascii="仿宋_GB2312" w:hAnsi="仿宋_GB2312" w:cs="仿宋_GB2312" w:eastAsia="仿宋_GB2312"/>
                <w:sz w:val="20"/>
              </w:rPr>
              <w:t>1人次CISP认证培训，包含教材、培训费、考试费、食宿等所有由于培训产生的费用。</w:t>
            </w:r>
          </w:p>
          <w:p>
            <w:pPr>
              <w:pStyle w:val="null3"/>
              <w:ind w:firstLine="400"/>
            </w:pPr>
            <w:r>
              <w:rPr>
                <w:rFonts w:ascii="仿宋_GB2312" w:hAnsi="仿宋_GB2312" w:cs="仿宋_GB2312" w:eastAsia="仿宋_GB2312"/>
                <w:sz w:val="20"/>
              </w:rPr>
              <w:t>2.日常安全运维服务</w:t>
            </w:r>
          </w:p>
          <w:p>
            <w:pPr>
              <w:pStyle w:val="null3"/>
              <w:ind w:firstLine="400"/>
            </w:pPr>
            <w:r>
              <w:rPr>
                <w:rFonts w:ascii="仿宋_GB2312" w:hAnsi="仿宋_GB2312" w:cs="仿宋_GB2312" w:eastAsia="仿宋_GB2312"/>
                <w:sz w:val="20"/>
              </w:rPr>
              <w:t>日常安全维护工作主要包括以下</w:t>
            </w:r>
            <w:r>
              <w:rPr>
                <w:rFonts w:ascii="仿宋_GB2312" w:hAnsi="仿宋_GB2312" w:cs="仿宋_GB2312" w:eastAsia="仿宋_GB2312"/>
                <w:sz w:val="20"/>
              </w:rPr>
              <w:t>4个方面：</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1）安全巡检</w:t>
            </w:r>
          </w:p>
          <w:p>
            <w:pPr>
              <w:pStyle w:val="null3"/>
              <w:ind w:firstLine="400"/>
            </w:pPr>
            <w:r>
              <w:rPr>
                <w:rFonts w:ascii="仿宋_GB2312" w:hAnsi="仿宋_GB2312" w:cs="仿宋_GB2312" w:eastAsia="仿宋_GB2312"/>
                <w:sz w:val="20"/>
              </w:rPr>
              <w:t>对系统安全设备进行安全巡检，及时了解安全设备运行情况，观察各个安全节点的可靠性。机房巡检每日</w:t>
            </w:r>
            <w:r>
              <w:rPr>
                <w:rFonts w:ascii="仿宋_GB2312" w:hAnsi="仿宋_GB2312" w:cs="仿宋_GB2312" w:eastAsia="仿宋_GB2312"/>
                <w:sz w:val="20"/>
              </w:rPr>
              <w:t>2次，线上巡检每日1次（即设备管理平台状态检查），遇重要活动或会议期间要加大巡检频次，并提供巡检日报。对巡检中发现的安全问题或异常情况，应及时报告采购人有关人员，不得擅自处理，并协助采购人对问题进行整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2）信息资产台账维护</w:t>
            </w:r>
          </w:p>
          <w:p>
            <w:pPr>
              <w:pStyle w:val="null3"/>
              <w:ind w:firstLine="400"/>
            </w:pPr>
            <w:r>
              <w:rPr>
                <w:rFonts w:ascii="仿宋_GB2312" w:hAnsi="仿宋_GB2312" w:cs="仿宋_GB2312" w:eastAsia="仿宋_GB2312"/>
                <w:sz w:val="20"/>
              </w:rPr>
              <w:t>定期维护更新安全设备资产台账，包括资产类别、型号、用途、位置、端口使用状态、责任归属等。并重点记录资产在遭受泄密、中断、损害等破坏时所遭受的影响，以及后续状态。</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3）安全运行监测</w:t>
            </w:r>
          </w:p>
          <w:p>
            <w:pPr>
              <w:pStyle w:val="null3"/>
              <w:ind w:firstLine="400"/>
            </w:pPr>
            <w:r>
              <w:rPr>
                <w:rFonts w:ascii="仿宋_GB2312" w:hAnsi="仿宋_GB2312" w:cs="仿宋_GB2312" w:eastAsia="仿宋_GB2312"/>
                <w:sz w:val="20"/>
              </w:rPr>
              <w:t>对采购人部署的防火墙、网闸、日志审计系统、堡垒机、漏洞扫描、防病毒系统等安全设备（软件）运行状况进行监测，及时发现安全异常情况。对服务期限内新增的系统安全设备，也应做好安全运行监测工作。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4）其它安全信息服务</w:t>
            </w:r>
          </w:p>
          <w:p>
            <w:pPr>
              <w:pStyle w:val="null3"/>
              <w:ind w:firstLine="400"/>
            </w:pPr>
            <w:r>
              <w:rPr>
                <w:rFonts w:ascii="仿宋_GB2312" w:hAnsi="仿宋_GB2312" w:cs="仿宋_GB2312" w:eastAsia="仿宋_GB2312"/>
                <w:sz w:val="20"/>
              </w:rPr>
              <w:t>应在安全技术团队保障的基础上，协助编制（修订）全省和采购人相关网络安全管理制度、安全检查（通报）、安全技术要求、专项方案等相关文件。应梳理现有网络安全配置策略，针对服务中出现的问题，提交本年度安全运行分析报告，提出安全管理及技术方面需要完善的意见建议，包括但不限于整体系统架构的可靠性、冗余性、安全性、可扩展性方面，同时规划下一年度的安全完善计划。</w:t>
            </w:r>
          </w:p>
          <w:p>
            <w:pPr>
              <w:pStyle w:val="null3"/>
              <w:ind w:firstLine="400"/>
            </w:pPr>
            <w:r>
              <w:rPr>
                <w:rFonts w:ascii="仿宋_GB2312" w:hAnsi="仿宋_GB2312" w:cs="仿宋_GB2312" w:eastAsia="仿宋_GB2312"/>
                <w:sz w:val="20"/>
              </w:rPr>
              <w:t>3.服务报告要求</w:t>
            </w:r>
          </w:p>
          <w:p>
            <w:pPr>
              <w:pStyle w:val="null3"/>
              <w:ind w:firstLine="400"/>
            </w:pPr>
            <w:r>
              <w:rPr>
                <w:rFonts w:ascii="仿宋_GB2312" w:hAnsi="仿宋_GB2312" w:cs="仿宋_GB2312" w:eastAsia="仿宋_GB2312"/>
                <w:sz w:val="20"/>
              </w:rPr>
              <w:t>本服务项目的交付物包含但不限于以下内容：</w:t>
            </w:r>
          </w:p>
          <w:p>
            <w:pPr>
              <w:pStyle w:val="null3"/>
              <w:ind w:firstLine="400"/>
            </w:pPr>
            <w:r>
              <w:rPr>
                <w:rFonts w:ascii="仿宋_GB2312" w:hAnsi="仿宋_GB2312" w:cs="仿宋_GB2312" w:eastAsia="仿宋_GB2312"/>
                <w:sz w:val="20"/>
              </w:rPr>
              <w:t>《日巡检安全报告》</w:t>
            </w:r>
          </w:p>
          <w:p>
            <w:pPr>
              <w:pStyle w:val="null3"/>
              <w:ind w:firstLine="400"/>
            </w:pPr>
            <w:r>
              <w:rPr>
                <w:rFonts w:ascii="仿宋_GB2312" w:hAnsi="仿宋_GB2312" w:cs="仿宋_GB2312" w:eastAsia="仿宋_GB2312"/>
                <w:sz w:val="20"/>
              </w:rPr>
              <w:t>《月度风险分析报告》</w:t>
            </w:r>
          </w:p>
          <w:p>
            <w:pPr>
              <w:pStyle w:val="null3"/>
              <w:ind w:firstLine="400"/>
            </w:pPr>
            <w:r>
              <w:rPr>
                <w:rFonts w:ascii="仿宋_GB2312" w:hAnsi="仿宋_GB2312" w:cs="仿宋_GB2312" w:eastAsia="仿宋_GB2312"/>
                <w:sz w:val="20"/>
              </w:rPr>
              <w:t>《季度漏洞扫描报告》</w:t>
            </w:r>
          </w:p>
          <w:p>
            <w:pPr>
              <w:pStyle w:val="null3"/>
              <w:ind w:firstLine="400"/>
            </w:pPr>
            <w:r>
              <w:rPr>
                <w:rFonts w:ascii="仿宋_GB2312" w:hAnsi="仿宋_GB2312" w:cs="仿宋_GB2312" w:eastAsia="仿宋_GB2312"/>
                <w:sz w:val="20"/>
              </w:rPr>
              <w:t>《重要时段护网总结报告》</w:t>
            </w:r>
          </w:p>
          <w:p>
            <w:pPr>
              <w:pStyle w:val="null3"/>
              <w:ind w:firstLine="400"/>
            </w:pPr>
            <w:r>
              <w:rPr>
                <w:rFonts w:ascii="仿宋_GB2312" w:hAnsi="仿宋_GB2312" w:cs="仿宋_GB2312" w:eastAsia="仿宋_GB2312"/>
                <w:sz w:val="20"/>
              </w:rPr>
              <w:t>《渗透测试报告》</w:t>
            </w:r>
          </w:p>
          <w:p>
            <w:pPr>
              <w:pStyle w:val="null3"/>
              <w:ind w:firstLine="400"/>
            </w:pPr>
            <w:r>
              <w:rPr>
                <w:rFonts w:ascii="仿宋_GB2312" w:hAnsi="仿宋_GB2312" w:cs="仿宋_GB2312" w:eastAsia="仿宋_GB2312"/>
                <w:sz w:val="20"/>
              </w:rPr>
              <w:t>《安全演练报告》</w:t>
            </w:r>
          </w:p>
          <w:p>
            <w:pPr>
              <w:pStyle w:val="null3"/>
              <w:ind w:firstLine="400"/>
            </w:pPr>
            <w:r>
              <w:rPr>
                <w:rFonts w:ascii="仿宋_GB2312" w:hAnsi="仿宋_GB2312" w:cs="仿宋_GB2312" w:eastAsia="仿宋_GB2312"/>
                <w:sz w:val="20"/>
              </w:rPr>
              <w:t>《安全检查报告》</w:t>
            </w:r>
          </w:p>
          <w:p>
            <w:pPr>
              <w:pStyle w:val="null3"/>
              <w:ind w:firstLine="400"/>
            </w:pPr>
            <w:r>
              <w:rPr>
                <w:rFonts w:ascii="仿宋_GB2312" w:hAnsi="仿宋_GB2312" w:cs="仿宋_GB2312" w:eastAsia="仿宋_GB2312"/>
                <w:sz w:val="20"/>
              </w:rPr>
              <w:t>《安全培训报告》</w:t>
            </w:r>
          </w:p>
          <w:p>
            <w:pPr>
              <w:pStyle w:val="null3"/>
              <w:ind w:firstLine="400"/>
            </w:pPr>
            <w:r>
              <w:rPr>
                <w:rFonts w:ascii="仿宋_GB2312" w:hAnsi="仿宋_GB2312" w:cs="仿宋_GB2312" w:eastAsia="仿宋_GB2312"/>
                <w:sz w:val="20"/>
              </w:rPr>
              <w:t>《年度安全运维总结报告》</w:t>
            </w:r>
          </w:p>
          <w:p>
            <w:pPr>
              <w:pStyle w:val="null3"/>
              <w:ind w:firstLine="400"/>
            </w:pPr>
            <w:r>
              <w:rPr>
                <w:rFonts w:ascii="仿宋_GB2312" w:hAnsi="仿宋_GB2312" w:cs="仿宋_GB2312" w:eastAsia="仿宋_GB2312"/>
                <w:sz w:val="20"/>
              </w:rPr>
              <w:t>其他需要的报告或者材料。</w:t>
            </w:r>
          </w:p>
          <w:p>
            <w:pPr>
              <w:pStyle w:val="null3"/>
              <w:ind w:firstLine="400"/>
            </w:pPr>
            <w:r>
              <w:rPr>
                <w:rFonts w:ascii="仿宋_GB2312" w:hAnsi="仿宋_GB2312" w:cs="仿宋_GB2312" w:eastAsia="仿宋_GB2312"/>
                <w:sz w:val="20"/>
              </w:rPr>
              <w:t>4.重要信息系统网络安全运维服务维护清单如下：</w:t>
            </w:r>
          </w:p>
          <w:tbl>
            <w:tblPr>
              <w:tblInd w:type="dxa" w:w="135"/>
              <w:tblBorders>
                <w:top w:val="none" w:color="000000" w:sz="4"/>
                <w:left w:val="none" w:color="000000" w:sz="4"/>
                <w:bottom w:val="none" w:color="000000" w:sz="4"/>
                <w:right w:val="none" w:color="000000" w:sz="4"/>
                <w:insideH w:val="none"/>
                <w:insideV w:val="none"/>
              </w:tblBorders>
            </w:tblPr>
            <w:tblGrid>
              <w:gridCol w:w="311"/>
              <w:gridCol w:w="458"/>
              <w:gridCol w:w="1285"/>
              <w:gridCol w:w="250"/>
              <w:gridCol w:w="250"/>
            </w:tblGrid>
            <w:tr>
              <w:tc>
                <w:tcPr>
                  <w:tcW w:type="dxa" w:w="31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类别</w:t>
                  </w:r>
                </w:p>
              </w:tc>
              <w:tc>
                <w:tcPr>
                  <w:tcW w:type="dxa" w:w="128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2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路网防火墙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路网</w:t>
                  </w:r>
                  <w:r>
                    <w:rPr>
                      <w:rFonts w:ascii="仿宋_GB2312" w:hAnsi="仿宋_GB2312" w:cs="仿宋_GB2312" w:eastAsia="仿宋_GB2312"/>
                      <w:sz w:val="20"/>
                    </w:rPr>
                    <w:t>VPN</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部省防火墙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发行业务交互防火墙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站部防火墙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密钥管理防火墙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安全管理防火墙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终端接入防火墙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核心业务</w:t>
                  </w:r>
                  <w:r>
                    <w:rPr>
                      <w:rFonts w:ascii="仿宋_GB2312" w:hAnsi="仿宋_GB2312" w:cs="仿宋_GB2312" w:eastAsia="仿宋_GB2312"/>
                      <w:sz w:val="20"/>
                    </w:rPr>
                    <w:t>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其他业务接入</w:t>
                  </w:r>
                  <w:r>
                    <w:rPr>
                      <w:rFonts w:ascii="仿宋_GB2312" w:hAnsi="仿宋_GB2312" w:cs="仿宋_GB2312" w:eastAsia="仿宋_GB2312"/>
                      <w:sz w:val="20"/>
                    </w:rPr>
                    <w:t>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数据服务防火墙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容灾备份防火墙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第三方接入防火墙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开发测试防火墙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路网</w:t>
                  </w:r>
                  <w:r>
                    <w:rPr>
                      <w:rFonts w:ascii="仿宋_GB2312" w:hAnsi="仿宋_GB2312" w:cs="仿宋_GB2312" w:eastAsia="仿宋_GB2312"/>
                      <w:sz w:val="20"/>
                    </w:rPr>
                    <w:t>入侵防御</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堡垒机</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安全漏洞扫描</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部省交互防病毒网关</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数据库防火墙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网络准入控制</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第三方接入网闸</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SSL网关</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数字签名服务器</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省级</w:t>
                  </w:r>
                  <w:r>
                    <w:rPr>
                      <w:rFonts w:ascii="仿宋_GB2312" w:hAnsi="仿宋_GB2312" w:cs="仿宋_GB2312" w:eastAsia="仿宋_GB2312"/>
                      <w:sz w:val="20"/>
                    </w:rPr>
                    <w:t>PSAM专用授权服务器</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国密加密机</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软硬一体</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内网安全管理系统</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日志收集与审计</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数据库安全审计系统</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网络安全态势感知平台</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防病毒系统</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安全深度安全防护系统</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网络安全智能管理平台</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路网边界防火墙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业务区防火墙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安全管理区防火墙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互联网防火墙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专网接入防火墙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网闸</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堡垒机</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安全漏洞扫描</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网络准入控制</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入侵检测</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RA网关</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PKI加密机</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数字签名系统</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软硬一体</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日志收集与审计</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防病毒系统</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证书接入系统</w:t>
                  </w:r>
                  <w:r>
                    <w:rPr>
                      <w:rFonts w:ascii="仿宋_GB2312" w:hAnsi="仿宋_GB2312" w:cs="仿宋_GB2312" w:eastAsia="仿宋_GB2312"/>
                      <w:sz w:val="20"/>
                    </w:rPr>
                    <w:t>RA</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视频上云防火墙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防火墙</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458"/>
                  <w:vMerge/>
                  <w:tcBorders>
                    <w:top w:val="none" w:color="000000" w:sz="4"/>
                    <w:left w:val="single" w:color="000000" w:sz="4"/>
                    <w:bottom w:val="single" w:color="000000" w:sz="4"/>
                    <w:right w:val="single" w:color="000000" w:sz="4"/>
                  </w:tcBorders>
                </w:tc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WEB应用防护系统</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bl>
          <w:p>
            <w:pPr>
              <w:pStyle w:val="null3"/>
              <w:ind w:firstLine="402"/>
            </w:pPr>
            <w:r>
              <w:rPr>
                <w:rFonts w:ascii="仿宋_GB2312" w:hAnsi="仿宋_GB2312" w:cs="仿宋_GB2312" w:eastAsia="仿宋_GB2312"/>
                <w:sz w:val="20"/>
                <w:b/>
              </w:rPr>
              <w:t>（二）安全设备特征库升级</w:t>
            </w:r>
          </w:p>
          <w:p>
            <w:pPr>
              <w:pStyle w:val="null3"/>
              <w:ind w:firstLine="400"/>
            </w:pPr>
            <w:r>
              <w:rPr>
                <w:rFonts w:ascii="仿宋_GB2312" w:hAnsi="仿宋_GB2312" w:cs="仿宋_GB2312" w:eastAsia="仿宋_GB2312"/>
                <w:sz w:val="20"/>
              </w:rPr>
              <w:t>按照国家信息安全等级保护制度要求，依据部、省相关信息安全政策、技术标准及安全文件要求，结合系统业务实际情况及安全现状，对高速公路联网收费省级中心系统、高速公路网综合监控省级中心系统、高速公路省级视频云联网监测系统、交通服务热线</w:t>
            </w:r>
            <w:r>
              <w:rPr>
                <w:rFonts w:ascii="仿宋_GB2312" w:hAnsi="仿宋_GB2312" w:cs="仿宋_GB2312" w:eastAsia="仿宋_GB2312"/>
                <w:sz w:val="20"/>
              </w:rPr>
              <w:t>12122系统、12328交通运输服务监督电话系统5个系统购买1年升级授权服务。</w:t>
            </w:r>
          </w:p>
          <w:p>
            <w:pPr>
              <w:pStyle w:val="null3"/>
              <w:ind w:firstLine="400"/>
            </w:pPr>
            <w:r>
              <w:rPr>
                <w:rFonts w:ascii="仿宋_GB2312" w:hAnsi="仿宋_GB2312" w:cs="仿宋_GB2312" w:eastAsia="仿宋_GB2312"/>
                <w:sz w:val="20"/>
              </w:rPr>
              <w:t>1.服务要求。服务期内需每周进行防病毒系统升级，其余安全设备特征库需每月进行设备特征库升级，如遇重要时段（重要节假日、重大活动等）或当有新型蠕虫、病毒、漏洞等范围性安全事件发生时，也需及时进行设备特征库升级，确保及时更新至最新版本，安全策略有效，期间不能收取任何费用。安全设备特征库待升级清单如下：</w:t>
            </w:r>
          </w:p>
          <w:p>
            <w:pPr>
              <w:pStyle w:val="null3"/>
              <w:ind w:firstLine="400"/>
            </w:pPr>
            <w:r>
              <w:rPr>
                <w:rFonts w:ascii="仿宋_GB2312" w:hAnsi="仿宋_GB2312" w:cs="仿宋_GB2312" w:eastAsia="仿宋_GB2312"/>
                <w:sz w:val="20"/>
              </w:rPr>
              <w:t>防火墙</w:t>
            </w:r>
            <w:r>
              <w:rPr>
                <w:rFonts w:ascii="仿宋_GB2312" w:hAnsi="仿宋_GB2312" w:cs="仿宋_GB2312" w:eastAsia="仿宋_GB2312"/>
                <w:sz w:val="20"/>
              </w:rPr>
              <w:t>18台（天融信8台、启明星辰2台、迪普5台、奇安信2台、深信服1台）；</w:t>
            </w:r>
          </w:p>
          <w:p>
            <w:pPr>
              <w:pStyle w:val="null3"/>
              <w:ind w:firstLine="400"/>
            </w:pPr>
            <w:r>
              <w:rPr>
                <w:rFonts w:ascii="仿宋_GB2312" w:hAnsi="仿宋_GB2312" w:cs="仿宋_GB2312" w:eastAsia="仿宋_GB2312"/>
                <w:sz w:val="20"/>
              </w:rPr>
              <w:t>安全漏洞扫描</w:t>
            </w:r>
            <w:r>
              <w:rPr>
                <w:rFonts w:ascii="仿宋_GB2312" w:hAnsi="仿宋_GB2312" w:cs="仿宋_GB2312" w:eastAsia="仿宋_GB2312"/>
                <w:sz w:val="20"/>
              </w:rPr>
              <w:t>2台（绿盟1台、奇安信1台）；</w:t>
            </w:r>
          </w:p>
          <w:p>
            <w:pPr>
              <w:pStyle w:val="null3"/>
              <w:ind w:firstLine="400"/>
            </w:pPr>
            <w:r>
              <w:rPr>
                <w:rFonts w:ascii="仿宋_GB2312" w:hAnsi="仿宋_GB2312" w:cs="仿宋_GB2312" w:eastAsia="仿宋_GB2312"/>
                <w:sz w:val="20"/>
              </w:rPr>
              <w:t>防病毒系统</w:t>
            </w:r>
            <w:r>
              <w:rPr>
                <w:rFonts w:ascii="仿宋_GB2312" w:hAnsi="仿宋_GB2312" w:cs="仿宋_GB2312" w:eastAsia="仿宋_GB2312"/>
                <w:sz w:val="20"/>
              </w:rPr>
              <w:t>3套（亚信1套，奇安信2套）。</w:t>
            </w:r>
          </w:p>
          <w:p>
            <w:pPr>
              <w:pStyle w:val="null3"/>
              <w:ind w:firstLine="400"/>
            </w:pPr>
            <w:r>
              <w:rPr>
                <w:rFonts w:ascii="仿宋_GB2312" w:hAnsi="仿宋_GB2312" w:cs="仿宋_GB2312" w:eastAsia="仿宋_GB2312"/>
                <w:sz w:val="20"/>
              </w:rPr>
              <w:t>安恒态势感知平台、日志收集与审计、数据库安全审计系统各</w:t>
            </w:r>
            <w:r>
              <w:rPr>
                <w:rFonts w:ascii="仿宋_GB2312" w:hAnsi="仿宋_GB2312" w:cs="仿宋_GB2312" w:eastAsia="仿宋_GB2312"/>
                <w:sz w:val="20"/>
              </w:rPr>
              <w:t>1套；绿盟WEB应用防护系统1台、网御星云入侵防御1台、绿盟保垒机1台、亚信防病毒网关2台。</w:t>
            </w:r>
          </w:p>
          <w:p>
            <w:pPr>
              <w:pStyle w:val="null3"/>
              <w:ind w:firstLine="400"/>
            </w:pPr>
            <w:r>
              <w:rPr>
                <w:rFonts w:ascii="仿宋_GB2312" w:hAnsi="仿宋_GB2312" w:cs="仿宋_GB2312" w:eastAsia="仿宋_GB2312"/>
                <w:sz w:val="20"/>
              </w:rPr>
              <w:t>2.服务报告要求</w:t>
            </w:r>
          </w:p>
          <w:p>
            <w:pPr>
              <w:pStyle w:val="null3"/>
              <w:ind w:firstLine="400"/>
            </w:pPr>
            <w:r>
              <w:rPr>
                <w:rFonts w:ascii="仿宋_GB2312" w:hAnsi="仿宋_GB2312" w:cs="仿宋_GB2312" w:eastAsia="仿宋_GB2312"/>
                <w:sz w:val="20"/>
              </w:rPr>
              <w:t>本服务项目的交付物包含但不限于以下内容：</w:t>
            </w:r>
          </w:p>
          <w:p>
            <w:pPr>
              <w:pStyle w:val="null3"/>
              <w:ind w:firstLine="400"/>
            </w:pPr>
            <w:r>
              <w:rPr>
                <w:rFonts w:ascii="仿宋_GB2312" w:hAnsi="仿宋_GB2312" w:cs="仿宋_GB2312" w:eastAsia="仿宋_GB2312"/>
                <w:sz w:val="20"/>
              </w:rPr>
              <w:t>《授权升级报告》</w:t>
            </w:r>
          </w:p>
          <w:p>
            <w:pPr>
              <w:pStyle w:val="null3"/>
              <w:ind w:firstLine="400"/>
            </w:pPr>
            <w:r>
              <w:rPr>
                <w:rFonts w:ascii="仿宋_GB2312" w:hAnsi="仿宋_GB2312" w:cs="仿宋_GB2312" w:eastAsia="仿宋_GB2312"/>
                <w:sz w:val="20"/>
              </w:rPr>
              <w:t>《月度升级服务报告》</w:t>
            </w:r>
          </w:p>
          <w:p>
            <w:pPr>
              <w:pStyle w:val="null3"/>
              <w:ind w:firstLine="400"/>
            </w:pPr>
            <w:r>
              <w:rPr>
                <w:rFonts w:ascii="仿宋_GB2312" w:hAnsi="仿宋_GB2312" w:cs="仿宋_GB2312" w:eastAsia="仿宋_GB2312"/>
                <w:sz w:val="20"/>
              </w:rPr>
              <w:t>《年度升级总结报告》</w:t>
            </w:r>
          </w:p>
          <w:p>
            <w:pPr>
              <w:pStyle w:val="null3"/>
              <w:ind w:firstLine="402"/>
            </w:pPr>
            <w:r>
              <w:rPr>
                <w:rFonts w:ascii="仿宋_GB2312" w:hAnsi="仿宋_GB2312" w:cs="仿宋_GB2312" w:eastAsia="仿宋_GB2312"/>
                <w:sz w:val="20"/>
                <w:b/>
              </w:rPr>
              <w:t>（三）联网收费省级中心系统数据异地备份服务</w:t>
            </w:r>
          </w:p>
          <w:p>
            <w:pPr>
              <w:pStyle w:val="null3"/>
              <w:ind w:firstLine="400"/>
            </w:pPr>
            <w:r>
              <w:rPr>
                <w:rFonts w:ascii="仿宋_GB2312" w:hAnsi="仿宋_GB2312" w:cs="仿宋_GB2312" w:eastAsia="仿宋_GB2312"/>
                <w:sz w:val="20"/>
              </w:rPr>
              <w:t>高速公路联网收费省级中心系统业务复杂、结构化数据量大，供应商应提供一整套系统核心数据库异地数据热备份所需的软硬件环境（包括机房设施、专线、备份服务器等），在有效保护原有已备份到异地的历史数据安全的同时，对核心业务的新增数据进行准实时的异地数据备份、数据保护、数据恢复功能。数据异地备份服务允许供应商租用其它第三方机房及线路。</w:t>
            </w:r>
          </w:p>
          <w:p>
            <w:pPr>
              <w:pStyle w:val="null3"/>
              <w:ind w:firstLine="400"/>
            </w:pPr>
            <w:r>
              <w:rPr>
                <w:rFonts w:ascii="仿宋_GB2312" w:hAnsi="仿宋_GB2312" w:cs="仿宋_GB2312" w:eastAsia="仿宋_GB2312"/>
                <w:sz w:val="20"/>
              </w:rPr>
              <w:t>1.配置要求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1）资源要求</w:t>
            </w:r>
          </w:p>
          <w:p>
            <w:pPr>
              <w:pStyle w:val="null3"/>
              <w:ind w:firstLine="400"/>
            </w:pPr>
            <w:r>
              <w:rPr>
                <w:rFonts w:ascii="仿宋_GB2312" w:hAnsi="仿宋_GB2312" w:cs="仿宋_GB2312" w:eastAsia="仿宋_GB2312"/>
                <w:sz w:val="20"/>
              </w:rPr>
              <w:t>本服务提供稳定可靠的高性能计算与大容量存储解决方案，核心收费数据存储</w:t>
            </w:r>
            <w:r>
              <w:rPr>
                <w:rFonts w:ascii="仿宋_GB2312" w:hAnsi="仿宋_GB2312" w:cs="仿宋_GB2312" w:eastAsia="仿宋_GB2312"/>
                <w:sz w:val="20"/>
              </w:rPr>
              <w:t>≥360TB，稽核数据存储≥180TB。满足收费系统数据的长期存储需求。采用全冗余硬件架构设计，包含冗余电源供应与散热模块，确保设备在7×24小时连续运行环境下的稳定性与可靠性，有效降低硬件故障风险，为收费系统收费数据、稽核数据提供持续稳定的计算与存储支持。</w:t>
            </w:r>
          </w:p>
          <w:p>
            <w:pPr>
              <w:pStyle w:val="null3"/>
              <w:ind w:firstLine="400"/>
            </w:pPr>
            <w:r>
              <w:rPr>
                <w:rFonts w:ascii="仿宋_GB2312" w:hAnsi="仿宋_GB2312" w:cs="仿宋_GB2312" w:eastAsia="仿宋_GB2312"/>
                <w:sz w:val="20"/>
              </w:rPr>
              <w:t>必须保证所有历史数据及本服务期内新增数据的完整性和一致性，若存储空间在服务期内需要扩容以满足数据备份需求，供应商应及时进行扩充，不得影响数据备份，采购人无需额外支付费用。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2）软件要求</w:t>
            </w:r>
          </w:p>
          <w:p>
            <w:pPr>
              <w:pStyle w:val="null3"/>
              <w:ind w:firstLine="400"/>
            </w:pPr>
            <w:r>
              <w:rPr>
                <w:rFonts w:ascii="仿宋_GB2312" w:hAnsi="仿宋_GB2312" w:cs="仿宋_GB2312" w:eastAsia="仿宋_GB2312"/>
                <w:sz w:val="20"/>
              </w:rPr>
              <w:t>在有效保护原有已备份到异地机房的历史数据安全的同时，能将本地收费系统收费数据、稽核数据、文件等通过备份软件进行定时的异地数据备份、数据保护、数据恢复功能。要求具备自动记录增量数据变化的功能，减少备份时对生产数据库的影响。具备数据库的非归档模式的在线热备功能。具备数据库全库、单表、表空间、文件、数据块、存储过程、对象、索引、函数的恢复。备份软件须支持异构的操作系统与数据库。</w:t>
            </w:r>
          </w:p>
          <w:p>
            <w:pPr>
              <w:pStyle w:val="null3"/>
              <w:ind w:firstLine="400"/>
            </w:pPr>
            <w:r>
              <w:rPr>
                <w:rFonts w:ascii="仿宋_GB2312" w:hAnsi="仿宋_GB2312" w:cs="仿宋_GB2312" w:eastAsia="仿宋_GB2312"/>
                <w:sz w:val="20"/>
              </w:rPr>
              <w:t>2.线路及机房租赁服务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1）机房要求</w:t>
            </w:r>
          </w:p>
          <w:p>
            <w:pPr>
              <w:pStyle w:val="null3"/>
              <w:ind w:firstLine="400"/>
            </w:pPr>
            <w:r>
              <w:rPr>
                <w:rFonts w:ascii="仿宋_GB2312" w:hAnsi="仿宋_GB2312" w:cs="仿宋_GB2312" w:eastAsia="仿宋_GB2312"/>
                <w:sz w:val="20"/>
              </w:rPr>
              <w:t>距离采购人大于</w:t>
            </w:r>
            <w:r>
              <w:rPr>
                <w:rFonts w:ascii="仿宋_GB2312" w:hAnsi="仿宋_GB2312" w:cs="仿宋_GB2312" w:eastAsia="仿宋_GB2312"/>
                <w:sz w:val="20"/>
              </w:rPr>
              <w:t>200公里专业化机房，提供不少于两路市电冗余输入，配置N+1冗余备份UPS系统，满足系统容量放电30分钟，具备发电机组，可支持机组满载运行大于24小时。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2）线路要求</w:t>
            </w:r>
          </w:p>
          <w:p>
            <w:pPr>
              <w:pStyle w:val="null3"/>
              <w:ind w:firstLine="400"/>
            </w:pPr>
            <w:r>
              <w:rPr>
                <w:rFonts w:ascii="仿宋_GB2312" w:hAnsi="仿宋_GB2312" w:cs="仿宋_GB2312" w:eastAsia="仿宋_GB2312"/>
                <w:sz w:val="20"/>
              </w:rPr>
              <w:t>联网收费省级中心系统数据备份服务为采购人机房和异地数据备份机房之间不少于</w:t>
            </w:r>
            <w:r>
              <w:rPr>
                <w:rFonts w:ascii="仿宋_GB2312" w:hAnsi="仿宋_GB2312" w:cs="仿宋_GB2312" w:eastAsia="仿宋_GB2312"/>
                <w:sz w:val="20"/>
              </w:rPr>
              <w:t>300Mbps的专线一条（带宽需根据业务需要免费动态调整并且≥300M）。确保数据通过该链路将收费数据、稽核数据高质量、实时传输至异地备份服务器（1条链路应传输收费、稽核2个业务，若1条链路无法实现，应免费扩充2条链路分别传输不同业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3）接入设备</w:t>
            </w:r>
          </w:p>
          <w:p>
            <w:pPr>
              <w:pStyle w:val="null3"/>
              <w:ind w:firstLine="400"/>
            </w:pPr>
            <w:r>
              <w:rPr>
                <w:rFonts w:ascii="仿宋_GB2312" w:hAnsi="仿宋_GB2312" w:cs="仿宋_GB2312" w:eastAsia="仿宋_GB2312"/>
                <w:sz w:val="20"/>
              </w:rPr>
              <w:t>业务内所需的安装线缆、接入设备等由供应商免费提供，并保障服务期内免费维修或更换。</w:t>
            </w:r>
          </w:p>
          <w:p>
            <w:pPr>
              <w:pStyle w:val="null3"/>
              <w:ind w:firstLine="400"/>
            </w:pPr>
            <w:r>
              <w:rPr>
                <w:rFonts w:ascii="仿宋_GB2312" w:hAnsi="仿宋_GB2312" w:cs="仿宋_GB2312" w:eastAsia="仿宋_GB2312"/>
                <w:sz w:val="20"/>
              </w:rPr>
              <w:t>3.数据恢复演练服务</w:t>
            </w:r>
          </w:p>
          <w:p>
            <w:pPr>
              <w:pStyle w:val="null3"/>
              <w:ind w:firstLine="400"/>
            </w:pPr>
            <w:r>
              <w:rPr>
                <w:rFonts w:ascii="仿宋_GB2312" w:hAnsi="仿宋_GB2312" w:cs="仿宋_GB2312" w:eastAsia="仿宋_GB2312"/>
                <w:sz w:val="20"/>
              </w:rPr>
              <w:t>应设计系统数据备份和恢复演练预案，制定数据备份和恢复策略、备份程序和恢复程序，制定相关的操作手册。提供不少于一次数据恢复演练服务，确保数据的完整性和一致性。演练结束后，对演练结果进行评估，并进一步完善数据备份和恢复演练方案。</w:t>
            </w:r>
          </w:p>
          <w:p>
            <w:pPr>
              <w:pStyle w:val="null3"/>
              <w:ind w:firstLine="400"/>
            </w:pPr>
            <w:r>
              <w:rPr>
                <w:rFonts w:ascii="仿宋_GB2312" w:hAnsi="仿宋_GB2312" w:cs="仿宋_GB2312" w:eastAsia="仿宋_GB2312"/>
                <w:sz w:val="20"/>
              </w:rPr>
              <w:t>4.运维保障服务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1）异地备份定期巡检</w:t>
            </w:r>
          </w:p>
          <w:p>
            <w:pPr>
              <w:pStyle w:val="null3"/>
              <w:ind w:firstLine="400"/>
            </w:pPr>
            <w:r>
              <w:rPr>
                <w:rFonts w:ascii="仿宋_GB2312" w:hAnsi="仿宋_GB2312" w:cs="仿宋_GB2312" w:eastAsia="仿宋_GB2312"/>
                <w:sz w:val="20"/>
              </w:rPr>
              <w:t>每季度安排厂家工程师对异地备份服务器提供至少一次定期巡检服务，内容包括数据备份状态分析、系统健康状态分析、系统日志分析、系统诊断、性能分析等，梳理系统运行隐患、优化系统配置。同时提供异地备份服务器现场技术支持响应服务，当异地备份服务器软硬件系统发生故障时，工程师须第一时间（</w:t>
            </w:r>
            <w:r>
              <w:rPr>
                <w:rFonts w:ascii="仿宋_GB2312" w:hAnsi="仿宋_GB2312" w:cs="仿宋_GB2312" w:eastAsia="仿宋_GB2312"/>
                <w:sz w:val="20"/>
              </w:rPr>
              <w:t>4小时内）赶赴现场处理故障，对系统故障进行定位、排查和解决。</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2）运行监测</w:t>
            </w:r>
          </w:p>
          <w:p>
            <w:pPr>
              <w:pStyle w:val="null3"/>
              <w:ind w:firstLine="400"/>
            </w:pPr>
            <w:r>
              <w:rPr>
                <w:rFonts w:ascii="仿宋_GB2312" w:hAnsi="仿宋_GB2312" w:cs="仿宋_GB2312" w:eastAsia="仿宋_GB2312"/>
                <w:sz w:val="20"/>
              </w:rPr>
              <w:t>在服务期内，每日需对异地备份系统软硬件备份状态进行监测，检查系统运行状况、报警信息等，对系统出现的异常现象及时联系厂家处理。每周</w:t>
            </w:r>
            <w:r>
              <w:rPr>
                <w:rFonts w:ascii="仿宋_GB2312" w:hAnsi="仿宋_GB2312" w:cs="仿宋_GB2312" w:eastAsia="仿宋_GB2312"/>
                <w:sz w:val="20"/>
              </w:rPr>
              <w:t>1次需从异地备份系统随机抽取若干张表或日志文件进行数据恢复，将异地恢复的数据与生产数据进行对比验证，确保数据完整备份至异地、本地和异地数据一致，异地数据具有可用性。服务期每季度末，应提供系统运行报告。供应商应定期监测备份空间使用情况，当剩余存储空间小于10TB时，应及时向采购人报告情况，制定磁盘扩容方案，于发现问题的5个工作日内完成磁盘扩容，不得影响数据备份，采购人无需额外支付费用。</w:t>
            </w:r>
          </w:p>
          <w:p>
            <w:pPr>
              <w:pStyle w:val="null3"/>
              <w:ind w:firstLine="400"/>
            </w:pPr>
            <w:r>
              <w:rPr>
                <w:rFonts w:ascii="仿宋_GB2312" w:hAnsi="仿宋_GB2312" w:cs="仿宋_GB2312" w:eastAsia="仿宋_GB2312"/>
                <w:sz w:val="20"/>
              </w:rPr>
              <w:t>5.服务报告要求</w:t>
            </w:r>
          </w:p>
          <w:p>
            <w:pPr>
              <w:pStyle w:val="null3"/>
              <w:ind w:firstLine="400"/>
            </w:pPr>
            <w:r>
              <w:rPr>
                <w:rFonts w:ascii="仿宋_GB2312" w:hAnsi="仿宋_GB2312" w:cs="仿宋_GB2312" w:eastAsia="仿宋_GB2312"/>
                <w:sz w:val="20"/>
              </w:rPr>
              <w:t>本服务项目的交付物包含但不限于以下内容：</w:t>
            </w:r>
          </w:p>
          <w:p>
            <w:pPr>
              <w:pStyle w:val="null3"/>
              <w:ind w:firstLine="400"/>
            </w:pPr>
            <w:r>
              <w:rPr>
                <w:rFonts w:ascii="仿宋_GB2312" w:hAnsi="仿宋_GB2312" w:cs="仿宋_GB2312" w:eastAsia="仿宋_GB2312"/>
                <w:sz w:val="20"/>
              </w:rPr>
              <w:t>《日监测报告》</w:t>
            </w:r>
          </w:p>
          <w:p>
            <w:pPr>
              <w:pStyle w:val="null3"/>
              <w:ind w:firstLine="400"/>
            </w:pPr>
            <w:r>
              <w:rPr>
                <w:rFonts w:ascii="仿宋_GB2312" w:hAnsi="仿宋_GB2312" w:cs="仿宋_GB2312" w:eastAsia="仿宋_GB2312"/>
                <w:sz w:val="20"/>
              </w:rPr>
              <w:t>《周巡检报告》</w:t>
            </w:r>
          </w:p>
          <w:p>
            <w:pPr>
              <w:pStyle w:val="null3"/>
              <w:ind w:firstLine="400"/>
            </w:pPr>
            <w:r>
              <w:rPr>
                <w:rFonts w:ascii="仿宋_GB2312" w:hAnsi="仿宋_GB2312" w:cs="仿宋_GB2312" w:eastAsia="仿宋_GB2312"/>
                <w:sz w:val="20"/>
              </w:rPr>
              <w:t>《周数据恢复演练报告》</w:t>
            </w:r>
          </w:p>
          <w:p>
            <w:pPr>
              <w:pStyle w:val="null3"/>
              <w:ind w:firstLine="400"/>
            </w:pPr>
            <w:r>
              <w:rPr>
                <w:rFonts w:ascii="仿宋_GB2312" w:hAnsi="仿宋_GB2312" w:cs="仿宋_GB2312" w:eastAsia="仿宋_GB2312"/>
                <w:sz w:val="20"/>
              </w:rPr>
              <w:t>《季度系统运行报告》</w:t>
            </w:r>
          </w:p>
          <w:p>
            <w:pPr>
              <w:pStyle w:val="null3"/>
              <w:ind w:firstLine="400"/>
            </w:pPr>
            <w:r>
              <w:rPr>
                <w:rFonts w:ascii="仿宋_GB2312" w:hAnsi="仿宋_GB2312" w:cs="仿宋_GB2312" w:eastAsia="仿宋_GB2312"/>
                <w:sz w:val="20"/>
              </w:rPr>
              <w:t>《数据恢复演练预案及报告》</w:t>
            </w:r>
          </w:p>
          <w:p>
            <w:pPr>
              <w:pStyle w:val="null3"/>
              <w:ind w:firstLine="400"/>
            </w:pPr>
            <w:r>
              <w:rPr>
                <w:rFonts w:ascii="仿宋_GB2312" w:hAnsi="仿宋_GB2312" w:cs="仿宋_GB2312" w:eastAsia="仿宋_GB2312"/>
                <w:sz w:val="20"/>
              </w:rPr>
              <w:t>《年度报告》</w:t>
            </w:r>
          </w:p>
          <w:p>
            <w:pPr>
              <w:pStyle w:val="null3"/>
              <w:ind w:firstLine="400"/>
            </w:pPr>
            <w:r>
              <w:rPr>
                <w:rFonts w:ascii="仿宋_GB2312" w:hAnsi="仿宋_GB2312" w:cs="仿宋_GB2312" w:eastAsia="仿宋_GB2312"/>
                <w:sz w:val="20"/>
              </w:rPr>
              <w:t>其他需要的报告或者材料。</w:t>
            </w:r>
          </w:p>
          <w:p>
            <w:pPr>
              <w:pStyle w:val="null3"/>
              <w:ind w:firstLine="402"/>
            </w:pPr>
            <w:r>
              <w:rPr>
                <w:rFonts w:ascii="仿宋_GB2312" w:hAnsi="仿宋_GB2312" w:cs="仿宋_GB2312" w:eastAsia="仿宋_GB2312"/>
                <w:sz w:val="20"/>
                <w:b/>
              </w:rPr>
              <w:t>（四）</w:t>
            </w:r>
            <w:r>
              <w:rPr>
                <w:rFonts w:ascii="仿宋_GB2312" w:hAnsi="仿宋_GB2312" w:cs="仿宋_GB2312" w:eastAsia="仿宋_GB2312"/>
                <w:sz w:val="20"/>
                <w:b/>
              </w:rPr>
              <w:t>ETC发行服务系统数据异地备份服务</w:t>
            </w:r>
          </w:p>
          <w:p>
            <w:pPr>
              <w:pStyle w:val="null3"/>
              <w:ind w:firstLine="400"/>
            </w:pPr>
            <w:r>
              <w:rPr>
                <w:rFonts w:ascii="仿宋_GB2312" w:hAnsi="仿宋_GB2312" w:cs="仿宋_GB2312" w:eastAsia="仿宋_GB2312"/>
                <w:sz w:val="20"/>
              </w:rPr>
              <w:t>ETC发行服务系统业务复杂、结构化数据量大，供应商应提供一整套系统核心数据库异地数据热备份所需的软硬件环境（包括机房设施、专线、备份服务器等），在有效保护原有已备份到异地的历史数据安全的同时，对核心业务的新增数据进行准实时的异地数据备份、数据保护、数据恢复功能。数据异地备份服务允许供应商租用其它第三方机房及线路。</w:t>
            </w:r>
          </w:p>
          <w:p>
            <w:pPr>
              <w:pStyle w:val="null3"/>
              <w:ind w:firstLine="400"/>
            </w:pPr>
            <w:r>
              <w:rPr>
                <w:rFonts w:ascii="仿宋_GB2312" w:hAnsi="仿宋_GB2312" w:cs="仿宋_GB2312" w:eastAsia="仿宋_GB2312"/>
                <w:sz w:val="20"/>
              </w:rPr>
              <w:t>1.配置要求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1）资源要求</w:t>
            </w:r>
          </w:p>
          <w:p>
            <w:pPr>
              <w:pStyle w:val="null3"/>
              <w:ind w:firstLine="400"/>
            </w:pPr>
            <w:r>
              <w:rPr>
                <w:rFonts w:ascii="仿宋_GB2312" w:hAnsi="仿宋_GB2312" w:cs="仿宋_GB2312" w:eastAsia="仿宋_GB2312"/>
                <w:sz w:val="20"/>
              </w:rPr>
              <w:t>本服务提供稳定可靠的高性能计算与大容量存储解决方案，实时数据存储</w:t>
            </w:r>
            <w:r>
              <w:rPr>
                <w:rFonts w:ascii="仿宋_GB2312" w:hAnsi="仿宋_GB2312" w:cs="仿宋_GB2312" w:eastAsia="仿宋_GB2312"/>
                <w:sz w:val="20"/>
              </w:rPr>
              <w:t>≥16TB，备份数据存储≥64TB；2台服务器均要求CPU≥8核，内存≥64G，双千兆网口，存储磁盘可实现独立冗余磁盘阵列（RAID）的常用级别管理。满足ETC发行数据的长期存储需求。采用全冗余硬件架构设计，包含冗余电源供应与散热模块，确保设备在7×24小时连续运行环境下的稳定性与可靠性，有效降低硬件故障风险，为ETC发行数据提供持续稳定的计算与存储支持。</w:t>
            </w:r>
          </w:p>
          <w:p>
            <w:pPr>
              <w:pStyle w:val="null3"/>
              <w:ind w:firstLine="400"/>
            </w:pPr>
            <w:r>
              <w:rPr>
                <w:rFonts w:ascii="仿宋_GB2312" w:hAnsi="仿宋_GB2312" w:cs="仿宋_GB2312" w:eastAsia="仿宋_GB2312"/>
                <w:sz w:val="20"/>
              </w:rPr>
              <w:t>必须保证所有历史数据及本服务期内新增数据的完整性和一致性，若存储空间在服务期内需要扩容以满足数据备份需求，供应商应及时进行扩充，不得影响数据备份，采购人无需额外支付费用。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2）软件要求</w:t>
            </w:r>
          </w:p>
          <w:p>
            <w:pPr>
              <w:pStyle w:val="null3"/>
              <w:ind w:firstLine="400"/>
            </w:pPr>
            <w:r>
              <w:rPr>
                <w:rFonts w:ascii="仿宋_GB2312" w:hAnsi="仿宋_GB2312" w:cs="仿宋_GB2312" w:eastAsia="仿宋_GB2312"/>
                <w:sz w:val="20"/>
              </w:rPr>
              <w:t>在有效保护原有已备份到异地机房的历史数据安全的同时，能将本地</w:t>
            </w:r>
            <w:r>
              <w:rPr>
                <w:rFonts w:ascii="仿宋_GB2312" w:hAnsi="仿宋_GB2312" w:cs="仿宋_GB2312" w:eastAsia="仿宋_GB2312"/>
                <w:sz w:val="20"/>
              </w:rPr>
              <w:t>ETC发行数据、文件等通过备份软件进行实时、定时的本地、异地数据备份、数据保护、数据恢复功能。要求具备自动记录增量数据变化的功能，减少备份时对生产数据库的影响。具备数据库的非归档模式的在线热备功能。具备数据库全库、单表、表空间、文件、数据块、存储过程、对象、索引、函数的恢复。</w:t>
            </w:r>
          </w:p>
          <w:p>
            <w:pPr>
              <w:pStyle w:val="null3"/>
              <w:ind w:firstLine="400"/>
            </w:pPr>
            <w:r>
              <w:rPr>
                <w:rFonts w:ascii="仿宋_GB2312" w:hAnsi="仿宋_GB2312" w:cs="仿宋_GB2312" w:eastAsia="仿宋_GB2312"/>
                <w:sz w:val="20"/>
              </w:rPr>
              <w:t>在本地生产数据库出现故障后，业务可对异地容灾数据库进行访问，提高业务高可用性，本地数据库与异地备份数据库数据需保持一致，且必须实现数据库增量的双向切换，能够实现</w:t>
            </w:r>
            <w:r>
              <w:rPr>
                <w:rFonts w:ascii="仿宋_GB2312" w:hAnsi="仿宋_GB2312" w:cs="仿宋_GB2312" w:eastAsia="仿宋_GB2312"/>
                <w:sz w:val="20"/>
              </w:rPr>
              <w:t>ETC发行服务系统数据库接管测试和数据恢复。备份软件须支持异构的操作系统与数据库。</w:t>
            </w:r>
          </w:p>
          <w:p>
            <w:pPr>
              <w:pStyle w:val="null3"/>
              <w:ind w:firstLine="400"/>
            </w:pPr>
            <w:r>
              <w:rPr>
                <w:rFonts w:ascii="仿宋_GB2312" w:hAnsi="仿宋_GB2312" w:cs="仿宋_GB2312" w:eastAsia="仿宋_GB2312"/>
                <w:sz w:val="20"/>
              </w:rPr>
              <w:t>2.线路及机房租赁服务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1）机房要求</w:t>
            </w:r>
          </w:p>
          <w:p>
            <w:pPr>
              <w:pStyle w:val="null3"/>
              <w:ind w:firstLine="400"/>
            </w:pPr>
            <w:r>
              <w:rPr>
                <w:rFonts w:ascii="仿宋_GB2312" w:hAnsi="仿宋_GB2312" w:cs="仿宋_GB2312" w:eastAsia="仿宋_GB2312"/>
                <w:sz w:val="20"/>
              </w:rPr>
              <w:t>距离采购人大于</w:t>
            </w:r>
            <w:r>
              <w:rPr>
                <w:rFonts w:ascii="仿宋_GB2312" w:hAnsi="仿宋_GB2312" w:cs="仿宋_GB2312" w:eastAsia="仿宋_GB2312"/>
                <w:sz w:val="20"/>
              </w:rPr>
              <w:t>200公里专业化机房，提供不少于两路市电冗余输入，配置N+1冗余备份UPS系统，满足系统容量放电30分钟，具备发电机组，可支持机组满载运行大于24小时。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2）线路要求</w:t>
            </w:r>
          </w:p>
          <w:p>
            <w:pPr>
              <w:pStyle w:val="null3"/>
              <w:ind w:firstLine="400"/>
            </w:pPr>
            <w:r>
              <w:rPr>
                <w:rFonts w:ascii="仿宋_GB2312" w:hAnsi="仿宋_GB2312" w:cs="仿宋_GB2312" w:eastAsia="仿宋_GB2312"/>
                <w:sz w:val="20"/>
              </w:rPr>
              <w:t>ETC发行服务系统数据备份服务为采购人机房和异地数据备份机房之间不少于50Mbps的专线一条（带宽需根据业务需要免费动态调整并且≥50M）。确保数据通过该链路高质量、实时传输至异地备份服务器。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3）接入设备</w:t>
            </w:r>
          </w:p>
          <w:p>
            <w:pPr>
              <w:pStyle w:val="null3"/>
              <w:ind w:firstLine="400"/>
            </w:pPr>
            <w:r>
              <w:rPr>
                <w:rFonts w:ascii="仿宋_GB2312" w:hAnsi="仿宋_GB2312" w:cs="仿宋_GB2312" w:eastAsia="仿宋_GB2312"/>
                <w:sz w:val="20"/>
              </w:rPr>
              <w:t>业务内所需的安装线缆、接入设备等由供应商免费提供，并保障服务期内免费维修或更换。</w:t>
            </w:r>
          </w:p>
          <w:p>
            <w:pPr>
              <w:pStyle w:val="null3"/>
              <w:ind w:firstLine="400"/>
            </w:pPr>
            <w:r>
              <w:rPr>
                <w:rFonts w:ascii="仿宋_GB2312" w:hAnsi="仿宋_GB2312" w:cs="仿宋_GB2312" w:eastAsia="仿宋_GB2312"/>
                <w:sz w:val="20"/>
              </w:rPr>
              <w:t>3.数据接管、恢复演练服务</w:t>
            </w:r>
          </w:p>
          <w:p>
            <w:pPr>
              <w:pStyle w:val="null3"/>
              <w:ind w:firstLine="400"/>
            </w:pPr>
            <w:r>
              <w:rPr>
                <w:rFonts w:ascii="仿宋_GB2312" w:hAnsi="仿宋_GB2312" w:cs="仿宋_GB2312" w:eastAsia="仿宋_GB2312"/>
                <w:sz w:val="20"/>
              </w:rPr>
              <w:t>应设计系统数据接管、备份恢复演练预案，制定数据接管和备份恢复策略、接管和备份程序、恢复程序，制定相关的操作手册。每年度提供不少于一次数据接管、备份恢复演练服务，确保数据的完整性和一致性。演练结束后，对演练结果进行评估，并进一步完善数据接管、备份恢复演练方案。</w:t>
            </w:r>
          </w:p>
          <w:p>
            <w:pPr>
              <w:pStyle w:val="null3"/>
              <w:ind w:firstLine="400"/>
            </w:pPr>
            <w:r>
              <w:rPr>
                <w:rFonts w:ascii="仿宋_GB2312" w:hAnsi="仿宋_GB2312" w:cs="仿宋_GB2312" w:eastAsia="仿宋_GB2312"/>
                <w:sz w:val="20"/>
              </w:rPr>
              <w:t>4.运维保障服务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1）异地备份定期巡检</w:t>
            </w:r>
          </w:p>
          <w:p>
            <w:pPr>
              <w:pStyle w:val="null3"/>
              <w:ind w:firstLine="400"/>
            </w:pPr>
            <w:r>
              <w:rPr>
                <w:rFonts w:ascii="仿宋_GB2312" w:hAnsi="仿宋_GB2312" w:cs="仿宋_GB2312" w:eastAsia="仿宋_GB2312"/>
                <w:sz w:val="20"/>
              </w:rPr>
              <w:t>每季度安排厂家工程师对异地备份服务器提供至少一次定期巡检服务，内容包括数据备份状态分析、系统健康状态分析、系统日志分析、系统诊断、性能分析等，梳理系统运行隐患、优化系统配置。同时提供异地节点现场技术支持响应服务，当异地备份服务器软硬件系统发生故障时，工程师须第一时间（</w:t>
            </w:r>
            <w:r>
              <w:rPr>
                <w:rFonts w:ascii="仿宋_GB2312" w:hAnsi="仿宋_GB2312" w:cs="仿宋_GB2312" w:eastAsia="仿宋_GB2312"/>
                <w:sz w:val="20"/>
              </w:rPr>
              <w:t>4小时内）赶赴现场处理故障，对系统故障进行定位、排查和解决。</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2）运行监测</w:t>
            </w:r>
          </w:p>
          <w:p>
            <w:pPr>
              <w:pStyle w:val="null3"/>
              <w:ind w:firstLine="400"/>
            </w:pPr>
            <w:r>
              <w:rPr>
                <w:rFonts w:ascii="仿宋_GB2312" w:hAnsi="仿宋_GB2312" w:cs="仿宋_GB2312" w:eastAsia="仿宋_GB2312"/>
                <w:sz w:val="20"/>
              </w:rPr>
              <w:t>在服务期内，每日需对异地备份系统软硬件备份状态进行监测，检查系统运行状况、报警信息等，对系统出现的异常现象及时联系厂家处理。每周</w:t>
            </w:r>
            <w:r>
              <w:rPr>
                <w:rFonts w:ascii="仿宋_GB2312" w:hAnsi="仿宋_GB2312" w:cs="仿宋_GB2312" w:eastAsia="仿宋_GB2312"/>
                <w:sz w:val="20"/>
              </w:rPr>
              <w:t>1次需从异地备份系统随机抽取若干张表或日志文件进行数据恢复，将异地恢复的数据与生产数据进行对比验证，确保数据完整备份至异地、本地和异地数据一致，异地数据具有可用性。服务期每季度末，应提供系统运行报告。供应商应定期监测备份空间使用情况，当剩余存储空间小于2TB时，应及时向采购人报告情况，制定磁盘扩容方案，于发现问题的5个工作日内完成磁盘扩容，不得影响数据备份，采购人无需额外支付费用。</w:t>
            </w:r>
          </w:p>
          <w:p>
            <w:pPr>
              <w:pStyle w:val="null3"/>
              <w:ind w:firstLine="400"/>
            </w:pPr>
            <w:r>
              <w:rPr>
                <w:rFonts w:ascii="仿宋_GB2312" w:hAnsi="仿宋_GB2312" w:cs="仿宋_GB2312" w:eastAsia="仿宋_GB2312"/>
                <w:sz w:val="20"/>
              </w:rPr>
              <w:t>5.服务报告要求</w:t>
            </w:r>
          </w:p>
          <w:p>
            <w:pPr>
              <w:pStyle w:val="null3"/>
              <w:ind w:firstLine="400"/>
            </w:pPr>
            <w:r>
              <w:rPr>
                <w:rFonts w:ascii="仿宋_GB2312" w:hAnsi="仿宋_GB2312" w:cs="仿宋_GB2312" w:eastAsia="仿宋_GB2312"/>
                <w:sz w:val="20"/>
              </w:rPr>
              <w:t>本服务项目的交付物包含但不限于以下内容：</w:t>
            </w:r>
          </w:p>
          <w:p>
            <w:pPr>
              <w:pStyle w:val="null3"/>
              <w:ind w:firstLine="400"/>
            </w:pPr>
            <w:r>
              <w:rPr>
                <w:rFonts w:ascii="仿宋_GB2312" w:hAnsi="仿宋_GB2312" w:cs="仿宋_GB2312" w:eastAsia="仿宋_GB2312"/>
                <w:sz w:val="20"/>
              </w:rPr>
              <w:t>《日监测报告》</w:t>
            </w:r>
          </w:p>
          <w:p>
            <w:pPr>
              <w:pStyle w:val="null3"/>
              <w:ind w:firstLine="400"/>
            </w:pPr>
            <w:r>
              <w:rPr>
                <w:rFonts w:ascii="仿宋_GB2312" w:hAnsi="仿宋_GB2312" w:cs="仿宋_GB2312" w:eastAsia="仿宋_GB2312"/>
                <w:sz w:val="20"/>
              </w:rPr>
              <w:t>《周巡检报告》</w:t>
            </w:r>
          </w:p>
          <w:p>
            <w:pPr>
              <w:pStyle w:val="null3"/>
              <w:ind w:firstLine="400"/>
            </w:pPr>
            <w:r>
              <w:rPr>
                <w:rFonts w:ascii="仿宋_GB2312" w:hAnsi="仿宋_GB2312" w:cs="仿宋_GB2312" w:eastAsia="仿宋_GB2312"/>
                <w:sz w:val="20"/>
              </w:rPr>
              <w:t>《周数据恢复演练报告》</w:t>
            </w:r>
          </w:p>
          <w:p>
            <w:pPr>
              <w:pStyle w:val="null3"/>
              <w:ind w:firstLine="400"/>
            </w:pPr>
            <w:r>
              <w:rPr>
                <w:rFonts w:ascii="仿宋_GB2312" w:hAnsi="仿宋_GB2312" w:cs="仿宋_GB2312" w:eastAsia="仿宋_GB2312"/>
                <w:sz w:val="20"/>
              </w:rPr>
              <w:t>《季度系统运行报告》</w:t>
            </w:r>
          </w:p>
          <w:p>
            <w:pPr>
              <w:pStyle w:val="null3"/>
              <w:ind w:firstLine="400"/>
            </w:pPr>
            <w:r>
              <w:rPr>
                <w:rFonts w:ascii="仿宋_GB2312" w:hAnsi="仿宋_GB2312" w:cs="仿宋_GB2312" w:eastAsia="仿宋_GB2312"/>
                <w:sz w:val="20"/>
              </w:rPr>
              <w:t>《数据恢复演练预案及报告》</w:t>
            </w:r>
          </w:p>
          <w:p>
            <w:pPr>
              <w:pStyle w:val="null3"/>
              <w:ind w:firstLine="400"/>
            </w:pPr>
            <w:r>
              <w:rPr>
                <w:rFonts w:ascii="仿宋_GB2312" w:hAnsi="仿宋_GB2312" w:cs="仿宋_GB2312" w:eastAsia="仿宋_GB2312"/>
                <w:sz w:val="20"/>
              </w:rPr>
              <w:t>《年度报告》</w:t>
            </w:r>
          </w:p>
          <w:p>
            <w:pPr>
              <w:pStyle w:val="null3"/>
              <w:ind w:firstLine="400"/>
            </w:pPr>
            <w:r>
              <w:rPr>
                <w:rFonts w:ascii="仿宋_GB2312" w:hAnsi="仿宋_GB2312" w:cs="仿宋_GB2312" w:eastAsia="仿宋_GB2312"/>
                <w:sz w:val="20"/>
              </w:rPr>
              <w:t>其他需要的报告或者材料。</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0"/>
            </w:pPr>
            <w:r>
              <w:rPr>
                <w:rFonts w:ascii="仿宋_GB2312" w:hAnsi="仿宋_GB2312" w:cs="仿宋_GB2312" w:eastAsia="仿宋_GB2312"/>
                <w:sz w:val="20"/>
              </w:rPr>
              <w:t>（一）服务基本要求</w:t>
            </w:r>
          </w:p>
          <w:p>
            <w:pPr>
              <w:pStyle w:val="null3"/>
              <w:ind w:firstLine="400"/>
            </w:pPr>
            <w:r>
              <w:rPr>
                <w:rFonts w:ascii="仿宋_GB2312" w:hAnsi="仿宋_GB2312" w:cs="仿宋_GB2312" w:eastAsia="仿宋_GB2312"/>
                <w:sz w:val="20"/>
              </w:rPr>
              <w:t>1.服务时间</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1）重要信息系统网络安全运维服务时间：2026年7月1日至2027年6月30日</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2）安全设备特征库升级服务时间：自合同签订之日且具备现场实施条件后，60个日历日内完成安全设备特征库1年授权升级，同时提供1年定期授权升级服务，并能确保特征库更新至最新版本。</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3）数据异地备份服务时间：</w:t>
            </w:r>
          </w:p>
          <w:p>
            <w:pPr>
              <w:pStyle w:val="null3"/>
              <w:ind w:firstLine="400"/>
            </w:pPr>
            <w:r>
              <w:rPr>
                <w:rFonts w:ascii="仿宋_GB2312" w:hAnsi="仿宋_GB2312" w:cs="仿宋_GB2312" w:eastAsia="仿宋_GB2312"/>
                <w:sz w:val="20"/>
              </w:rPr>
              <w:t>联网收费省级中心系统数据备份服务时间：</w:t>
            </w:r>
            <w:r>
              <w:rPr>
                <w:rFonts w:ascii="仿宋_GB2312" w:hAnsi="仿宋_GB2312" w:cs="仿宋_GB2312" w:eastAsia="仿宋_GB2312"/>
                <w:sz w:val="20"/>
              </w:rPr>
              <w:t>2026年7月1日至2027年6月30日。</w:t>
            </w:r>
          </w:p>
          <w:p>
            <w:pPr>
              <w:pStyle w:val="null3"/>
              <w:ind w:firstLine="400"/>
            </w:pPr>
            <w:r>
              <w:rPr>
                <w:rFonts w:ascii="仿宋_GB2312" w:hAnsi="仿宋_GB2312" w:cs="仿宋_GB2312" w:eastAsia="仿宋_GB2312"/>
                <w:sz w:val="20"/>
              </w:rPr>
              <w:t>ETC发行服务系统数据备份服务时间：2026年7月1日至2027年6月30日。</w:t>
            </w:r>
          </w:p>
          <w:p>
            <w:pPr>
              <w:pStyle w:val="null3"/>
              <w:ind w:firstLine="400"/>
            </w:pPr>
            <w:r>
              <w:rPr>
                <w:rFonts w:ascii="仿宋_GB2312" w:hAnsi="仿宋_GB2312" w:cs="仿宋_GB2312" w:eastAsia="仿宋_GB2312"/>
                <w:sz w:val="20"/>
              </w:rPr>
              <w:t>2.服务地点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1）重要信息系统网络安全运维服务地点：陕西省高速公路收费中心</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2）安全设备特征库升级服务地点：陕西省高速公路收费中心</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3）数据异地备份服务地点：陕西省高速公路收费中心及数据异地备份机房</w:t>
            </w:r>
          </w:p>
          <w:p>
            <w:pPr>
              <w:pStyle w:val="null3"/>
              <w:ind w:firstLine="400"/>
            </w:pPr>
            <w:r>
              <w:rPr>
                <w:rFonts w:ascii="仿宋_GB2312" w:hAnsi="仿宋_GB2312" w:cs="仿宋_GB2312" w:eastAsia="仿宋_GB2312"/>
                <w:sz w:val="20"/>
              </w:rPr>
              <w:t>3.资产要求</w:t>
            </w:r>
          </w:p>
          <w:p>
            <w:pPr>
              <w:pStyle w:val="null3"/>
              <w:ind w:firstLine="400"/>
            </w:pPr>
            <w:r>
              <w:rPr>
                <w:rFonts w:ascii="仿宋_GB2312" w:hAnsi="仿宋_GB2312" w:cs="仿宋_GB2312" w:eastAsia="仿宋_GB2312"/>
                <w:sz w:val="20"/>
              </w:rPr>
              <w:t>供应商应梳理所服务的设备（系统）资产台账、网络拓扑、数据存储备份等系统所有资产和设备及软件配置信息，并在服务时间到期前</w:t>
            </w:r>
            <w:r>
              <w:rPr>
                <w:rFonts w:ascii="仿宋_GB2312" w:hAnsi="仿宋_GB2312" w:cs="仿宋_GB2312" w:eastAsia="仿宋_GB2312"/>
                <w:sz w:val="20"/>
              </w:rPr>
              <w:t>1个月内提交纸质资料和电子资料。</w:t>
            </w:r>
          </w:p>
          <w:p>
            <w:pPr>
              <w:pStyle w:val="null3"/>
              <w:ind w:firstLine="400"/>
            </w:pPr>
            <w:r>
              <w:rPr>
                <w:rFonts w:ascii="仿宋_GB2312" w:hAnsi="仿宋_GB2312" w:cs="仿宋_GB2312" w:eastAsia="仿宋_GB2312"/>
                <w:sz w:val="20"/>
              </w:rPr>
              <w:t>4.技术支持服务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1）供应商应具备完善的技术支持服务体系，并承诺提供 7*24小时的电话支持服务、故障处理服务等。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2）安全设备特征库升级要求原厂技术人员对特征库进行升级并出具升级服务报告，服务期内确保特征库升级至最新版本。</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3）其他服务</w:t>
            </w:r>
          </w:p>
          <w:p>
            <w:pPr>
              <w:pStyle w:val="null3"/>
              <w:ind w:firstLine="400"/>
            </w:pPr>
            <w:r>
              <w:rPr>
                <w:rFonts w:ascii="仿宋_GB2312" w:hAnsi="仿宋_GB2312" w:cs="仿宋_GB2312" w:eastAsia="仿宋_GB2312"/>
                <w:sz w:val="20"/>
              </w:rPr>
              <w:t>异地备份要求提供原厂服务，重要时期按照有关要求，提供现场值守服务。</w:t>
            </w:r>
          </w:p>
          <w:p>
            <w:pPr>
              <w:pStyle w:val="null3"/>
              <w:ind w:firstLine="400"/>
            </w:pPr>
            <w:r>
              <w:rPr>
                <w:rFonts w:ascii="仿宋_GB2312" w:hAnsi="仿宋_GB2312" w:cs="仿宋_GB2312" w:eastAsia="仿宋_GB2312"/>
                <w:sz w:val="20"/>
              </w:rPr>
              <w:t>（二）维护要求。如需维修或更换硬件，供应商应提出配件规格型号，由采购人自行采购或委托供应商代购。其中本项目实施过程中所需的辅料辅材及价值低于</w:t>
            </w:r>
            <w:r>
              <w:rPr>
                <w:rFonts w:ascii="仿宋_GB2312" w:hAnsi="仿宋_GB2312" w:cs="仿宋_GB2312" w:eastAsia="仿宋_GB2312"/>
                <w:sz w:val="20"/>
              </w:rPr>
              <w:t>3000元的低值易耗品由供应商负责维修及更换工作，采购人不在另行支付。</w:t>
            </w:r>
          </w:p>
          <w:p>
            <w:pPr>
              <w:pStyle w:val="null3"/>
              <w:ind w:firstLine="400"/>
            </w:pPr>
            <w:r>
              <w:rPr>
                <w:rFonts w:ascii="仿宋_GB2312" w:hAnsi="仿宋_GB2312" w:cs="仿宋_GB2312" w:eastAsia="仿宋_GB2312"/>
                <w:sz w:val="20"/>
              </w:rPr>
              <w:t>（三）网络安全要求</w:t>
            </w:r>
          </w:p>
          <w:p>
            <w:pPr>
              <w:pStyle w:val="null3"/>
              <w:ind w:firstLine="400"/>
            </w:pPr>
            <w:r>
              <w:rPr>
                <w:rFonts w:ascii="仿宋_GB2312" w:hAnsi="仿宋_GB2312" w:cs="仿宋_GB2312" w:eastAsia="仿宋_GB2312"/>
                <w:sz w:val="20"/>
              </w:rPr>
              <w:t>供应商具备健全的网络安全服务体系，具有网络安全隐患排查、完善加固、预警监测、应对攻击等服务能力，配备具有相关技术能力的网络安全专项人员，为本项目提供漏洞检测、策略配置、加固整改、安全监测、应急处置等保障措施，确保系统安全稳定运行，按照要求签署网络安全责任协议。</w:t>
            </w:r>
          </w:p>
          <w:p>
            <w:pPr>
              <w:pStyle w:val="null3"/>
              <w:ind w:firstLine="400"/>
            </w:pPr>
            <w:r>
              <w:rPr>
                <w:rFonts w:ascii="仿宋_GB2312" w:hAnsi="仿宋_GB2312" w:cs="仿宋_GB2312" w:eastAsia="仿宋_GB2312"/>
                <w:sz w:val="20"/>
              </w:rPr>
              <w:t>（四）保密要求</w:t>
            </w:r>
          </w:p>
          <w:p>
            <w:pPr>
              <w:pStyle w:val="null3"/>
              <w:ind w:firstLine="400"/>
            </w:pPr>
            <w:r>
              <w:rPr>
                <w:rFonts w:ascii="仿宋_GB2312" w:hAnsi="仿宋_GB2312" w:cs="仿宋_GB2312" w:eastAsia="仿宋_GB2312"/>
                <w:sz w:val="20"/>
              </w:rPr>
              <w:t>项目实施过程中所收集、产生的所有与本项目相关的文档、资料，包括文字、图片、表格、数字等各种形式所属权均归属采购人，供应商必须对所涉及到的内容保密，供应商及服务人员应按照要求签署保密协议。保密期限不受合同有效期的限制，在合同有效期结束后，供应商仍应承担保密义务。</w:t>
            </w:r>
          </w:p>
          <w:p>
            <w:pPr>
              <w:pStyle w:val="null3"/>
              <w:ind w:firstLine="400"/>
            </w:pPr>
            <w:r>
              <w:rPr>
                <w:rFonts w:ascii="仿宋_GB2312" w:hAnsi="仿宋_GB2312" w:cs="仿宋_GB2312" w:eastAsia="仿宋_GB2312"/>
                <w:sz w:val="20"/>
              </w:rPr>
              <w:t>（五）合同签订。供应商应配合采购方在法定时间内完成合同的签订工作，签订地点由采购方指定。</w:t>
            </w:r>
          </w:p>
          <w:p>
            <w:pPr>
              <w:pStyle w:val="null3"/>
              <w:ind w:firstLine="400"/>
            </w:pPr>
            <w:r>
              <w:rPr>
                <w:rFonts w:ascii="仿宋_GB2312" w:hAnsi="仿宋_GB2312" w:cs="仿宋_GB2312" w:eastAsia="仿宋_GB2312"/>
                <w:sz w:val="20"/>
              </w:rPr>
              <w:t>（六）供应链管理。供应商应严格落实网络安全和保密及人员管理要求，承担相应人员的网络安全和保密及人员管理责任，按要求签订协议和承诺书。供应商应强化配备人员管理，项目团队成员一经确认，原则上不得更换。如因特殊情况确需调整，须提前</w:t>
            </w:r>
            <w:r>
              <w:rPr>
                <w:rFonts w:ascii="仿宋_GB2312" w:hAnsi="仿宋_GB2312" w:cs="仿宋_GB2312" w:eastAsia="仿宋_GB2312"/>
                <w:sz w:val="20"/>
              </w:rPr>
              <w:t>15个日历天向采购人提交书面申请，经采购人审核同意后方可更换，且替换人员的职称、专业背景、从业年限及项目经验不得低于原定人员标准，确保项目服务质量不受影响。</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该项目预算为390万元，由重要信息系统网络安全运维（最高限价：125万元）、安全设备特征库升级（最高限价：138万元）、高速公路联网收费省级中心系统数据异地备份服务（最高限价：85.00万元）和ETC发行服务系统数据异地备份服务（最高限价：42.00万元）四部分组成。投标人投标报价不得超过项目总预算，四部分报价不得超过单项最高限价，凡报价超过预算或最高限价的将按未响应招标文件实质性要求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（1）重要信息系统网络安全运维服务时间：2026年7月1日至2027年6月30日 （2）安全设备特征库升级服务时间：自合同签订之日且具备现场实施条件后，60个日历日内完成安全设备特征库1年授权升级，同时提供1年定期授权升级服务，并能确保特征库更新至最新版本。 （3）数据异地备份服务时间： 联网收费省级中心系统数据备份服务时间：2026年7月1日至2027年6月30日。 ETC发行服务系统数据备份服务时间：2026年7月1日至2027年6月30日。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（1）重要信息系统网络安全运维服务地点：陕西省高速公路收费中心 （2）安全设备特征库升级服务地点：陕西省高速公路收费中心 （3）数据异地备份服务地点：陕西省高速公路收费中心及数据异地备份机房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项目履约验收主体为采购人，验收工作流程为供应商提出验收申请之日起30日内，由采购人组织验收工作。本项目为一次性验收，采购人严格按照招标文件、投标文件和合同约定内容进行履约验收。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投标人完成安全设备特征库1年授权许可，且特征库能够正常完成更新，提供1年授权升级报告后（投标人须向采购人出具合法有效的发票，采购人进行支付结算。首次支付时投标人应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服务期第二个月，在提交相应维护报告后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服务期第三个月，在提交相应维护报告后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服务期第四个月，在提交相应维护报告后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服务期第五个月，在提交相应维护报告后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服务期第六个月，2026年12月申请年度最后一次支付时，投标人需提供剩余款项的有效银行保函（待到项目验收通过后中心退还保函）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因投标人原因，服务期间造成所服务资产实际影响的，按以下条款处理： （1）清理系统隐患。排查清理系统网络安全隐患，确保发现中高危隐患清零。 （2）摸清现网资产。摸清系统资产，形成资产台账，定期维护更新资产，确保资产信息准确。 （3）消除口令问题。定期开展口令隐患排查，严格系统密码存储管理，确保口令问题消除。 （4）升级安装补丁。定期开展漏洞扫描、渗透测试等工作，及时升级系统存在漏洞的软件，安装最新补丁和杀毒软件，确保系统软件升至最新版本。 （5）强化监测能力。充分利用现有监测平台或借助第三方监测手段做好设备（软件）状态监测，及时感知并处置异常网络安全行为，确保系统安全运行。 （6）加强安全防护。选用技术能力强、安全业务精湛、经验丰富、责任心强的人员做好系统安全防护，采取切实有效的措施，能够及时发现系统异常攻击行为，做好系统安全防守。 （7）做好日常工作。完善运维机制，规范运维程序，形成运维记录，做好设备日常巡检、加强意识技能培训、开展安全专项服务、备份系统数据配置、做好监测预警处置等日常网络安全工作。 （8）因投标人原因，导致合同无法按时签订的，视为对项目的自动放弃，采购方有权取消供应商的中标或成交资格、并有权依据采购文件中的约定及相关法律规定，追究投标人的违约责任。 （9）投标人如不能及时开具全额发票或采购人要求的保函，采购人有权延时付款且不承担违约责任，直至投标人开具全额发票或采购人要求的保函后再进行付款。 若因上述（1）至（7）条款落实不到位，造成部、省、公安等有关部门通报时，发现并通报1次，扣除服务费5000元；造成网络安全事件时，将按照国家，部、省、采购人网络安全相关规定，根据造成的实际损失、影响，上报有关部门，同时进行责任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财库(2026)2号-关于推动解决政府采购异常低价问题的通知（11）国办发〔2025]34号-国务院办公厅关于在政府采购中实施本国产品标准及相关政策的通知。如有最新颁布的政府采购政策，按最新的文件执行。 2、政府采购信用融资政策 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 3、投标保证金退还：中标通知书发出之日起5个工作日内退还未中标人的投标保证金，自政府采购合同签订之日起5个工作日内退还中标人的投标保证金。 4、招标文件中所有商务要求均为实质性要求，投标人必须响应并满足。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 为本项目提供整体设计、规范编制或者项目管理、监理、检测等服务的投标人，不得再参加该采购项目的其他采购活动。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投标人认为有必要说明的问题.docx 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投标人提供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或2025年度经审计的财务审计报告（事业法人可提供部门决算报告）；或投标人基本账户银行出具的资信证明；或提供专业担保机构出具的投标担保函，投标人需在项目电子化交易系统中按要求上传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投标人需提供参加本次政府采购活动前3年内在经营活动中没有重大违法记录的书面声明并进行电子签章。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投标人需提供具有履行合同所必需的设备和专业技术能力书面声明函并进行电子签章。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 只须提供其身份证明）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小组认为投标人的报价明显低于其他实质性响应的投标人报价，有可能影响产品质量或者不能诚信履约的，评审小组应当要求其在评审现场合理的时间内提供成本构成书面说明，并提交相关证明材料。书面说明应当按照国家财务会计制度的规定要求，逐项就投标人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评标委员会应当要求相关供应商在评审现场合理的时间内对投标（响应）价格作出解释，提供项目具体成本测算等与报价合理性相关的书面说明及必要的证明材料，包括但不限于原材料成本、人工成本、制造费用等。 3.投标人提交的相关证明材料，应当加盖投标人（法定名称）电子印章，在评审委员会要求的时间内通过项目电子化交易系统进行提交，否则提交的相关证明材料无效。投标人不能证明其报价合理性的，评审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投标人认为有必要说明的问题.docx 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投标人资格条件证明文件.docx 分项报价表.docx 服务内容及服务邀请应答表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项目重点难点分析、应对措施及相关的合理化建议</w:t>
            </w:r>
          </w:p>
        </w:tc>
        <w:tc>
          <w:tcPr>
            <w:tcW w:type="dxa" w:w="2492"/>
          </w:tcPr>
          <w:p>
            <w:pPr>
              <w:pStyle w:val="null3"/>
            </w:pPr>
            <w:r>
              <w:rPr>
                <w:rFonts w:ascii="仿宋_GB2312" w:hAnsi="仿宋_GB2312" w:cs="仿宋_GB2312" w:eastAsia="仿宋_GB2312"/>
              </w:rPr>
              <w:t>投标人针对本项目重点难点分析、应对措施及相关的合理化建议，给出具体思路和方案：a.内容完整、分析合理、应对措施科学合理，合理化建议针对性强计8分；b.内容较完整、分析较全面、应对措施基本合理、合理化建议针对性一般计6分； c.内容不够完整、分析不够全面、应对措施不够科学合理、合理化建议针对性不强计4分；d.内容简单有缺项，应对措施不合理，可操作性一般、无针对性计2分；e.无此项方案的计0分。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1详细评审--项目重点难点分析、应对措施及相关的合理化建议.docx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投标人针对本项目提供运维服务方案，包含但不限于：1.对项目服务需求、背景的理解；2.识别项目服务内容，针对本项目服务要求提供实施计划；3.明确管理架构及分工服务体系等：a.服务方案全面、内容细致，需求理解透彻，运维流程合理，贴合本项目实际需求的计12分；b.服务方案较全面、内容较细致，运维流程较合理，较贴合本项目实际需求的计9分；c.服务方案基本全面、内容基本细致，或运维流程基本合理，基本贴合本项目实际需求的计6分；d.服务方案欠全面、内容欠细致，或运维流程欠合理，贴合本项目实际需求不好的计3分；e.无服务方案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2详细评审--运维服务方案.docx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投标人需提供具体的项目实施进度计划安排，至少应包含以下内容：1. 日常巡检、定期保养、故障处理、系统升级、数据备份、报告提交以及安全保障等工作的时间安排；2. 备品备件抵达现场的时效要求。a.计划详尽、科学合理，完全满足项目需求，得6分；b.计划完整，仅满足部分需求得3分；c.计划简单笼统，针对性不强，不能满足项目要求得2分；d.无计划得0分。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3详细评审--进度安排.docx</w:t>
            </w:r>
          </w:p>
        </w:tc>
      </w:tr>
      <w:tr>
        <w:tc>
          <w:tcPr>
            <w:tcW w:type="dxa" w:w="831"/>
            <w:vMerge/>
          </w:tcPr>
          <w:p/>
        </w:tc>
        <w:tc>
          <w:tcPr>
            <w:tcW w:type="dxa" w:w="1661"/>
          </w:tcPr>
          <w:p>
            <w:pPr>
              <w:pStyle w:val="null3"/>
            </w:pPr>
            <w:r>
              <w:rPr>
                <w:rFonts w:ascii="仿宋_GB2312" w:hAnsi="仿宋_GB2312" w:cs="仿宋_GB2312" w:eastAsia="仿宋_GB2312"/>
              </w:rPr>
              <w:t>质量保障措施及方案</w:t>
            </w:r>
          </w:p>
        </w:tc>
        <w:tc>
          <w:tcPr>
            <w:tcW w:type="dxa" w:w="2492"/>
          </w:tcPr>
          <w:p>
            <w:pPr>
              <w:pStyle w:val="null3"/>
            </w:pPr>
            <w:r>
              <w:rPr>
                <w:rFonts w:ascii="仿宋_GB2312" w:hAnsi="仿宋_GB2312" w:cs="仿宋_GB2312" w:eastAsia="仿宋_GB2312"/>
              </w:rPr>
              <w:t>投标人针对本项目提供质量保障措施及方案：包含但不限于1. 项目质量管理制度；2. 项目资料管理、维护服务人员的稳定性、确保服务质量以及保障成果安全的措施等。a. 项目质量管理制度完备详尽，项目资料管理措施健全完善，服务人员队伍稳定，服务质量与成果安全保障措施周全细致，可得12分； b. 项目质量管理制度较为详细，项目资料管理措施具体，服务人员基本保持稳定，服务质量与成果安全保障措施合理可行，可得9分； c. 项目质量管理制度不够详尽，项目资料管理措施较为简单，服务质量与成果安全保障措施处于一般水平，可得6分； d. 项目质量管理制度欠佳，项目资料管理措施混乱，服务质量与成果安全保障措施缺乏可行性，可得3分； e. 若无相关措施及方案，则计0分。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4详细评审--质量保障措施及方案.docx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投标人针对本项目提供应急措施，包括但不限于响应时间方案、故障处理方案、电话支持方案、远程服务方案、现场服务方案、应急处置流程以及应急解决方案等。 a.方案全面合理，内容详细，措施完善，完全满足采购要求，得12分；b.方案基本完整，针对性不够强，基本满足项目要求得9分；c.方案不够完整，针对性一般，很难满足项目要求得6分；d.措施简单笼统，针对性不强，不能满足项目要求得3分；e.无措施及方案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5详细评审--应急措施.docx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1、投标人需提供针对本项目拟投入的团队人员相关信息，不限于团队人员分工、职责、数量及名单。 a.人员分工明确，职责清晰，能充分满足项目需求，可得2分； b.人员分工模糊，职责不明确，仅能满足部分需求，可得1分； c.未提供相关信息则不计分。 2、项目经理：投标人拟派专人负责项目的整体统筹管理、资源协调、服务质量总体把关，同时应具有预见和应对项目风险的能力，项目经理拥有五年以上信息安全服务行业从业经验，并具备PMP或CISP或CISAW证书，得3分； 3、团队成员：①投标人拟派项目团队成员（除项目经理）至少8人（至少5人具备CISP证书），且所有成员拥有三年以上信息安全服务行业从业经验。②须指派至少5名专业驻场服务人员，提供7*24小时值守服务；③须提供二线技术专家支持团队不少于3人，如出现驻场服务人员不能解决的问题，二线技术专家人员应及时响应、现场服务。完全满足的3分，一项不满足本项不得分。 备注：需提供项目团队成员从业经验证明材料、相关证书复印件，未提供或提供不全不得分。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6详细评审--项目团队.docx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投标人需针对本项目的采购内容及要求，提供具体的保密方案，包括但不限于保密管理制度、数据与信息安全保密措施等。a.方案完善、合理、科学有效，能保证项目顺利实施，得6分；b.方案不够完善，合理性一般，很难保证项目顺利实施，得4分；c.方案简单笼统，无合理性，无针对性，不能保证项目顺利实施，得2分；d.无保密方案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7详细评审--保密方案.docx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提供具体的服务承诺，包括但不限于服务质量承诺、保密承诺、应急响应承诺、服务时间承诺、人员配备状况承诺、网络安全以及数据安全保障承诺等方面。a.服务承诺完整、合理，切实针对本项目实际情况计6分；b.服务承诺不够详细、合理，可行但并不具备借鉴意义计4分；c.服务承诺简单笼统、有明显漏洞计2分；d.无服务承诺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8详细评审--服务承诺.docx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具备有效的信息安全管理体系认证证书（ISO/IEC27001）、ITSS信息技术服务运行维护标准符合性证书（运行维护）、信息安全服务资质认证证书-安全运维、信息安全服务资质认证证书-风险评估、信息安全服务资质认证证书-应急处理、信息安全服务资质认证证书-灾难恢复、信息安全服务资质认证证书-安全培训、信息安全服务资质认证证书-网络安全审计任意三项证书，得5分。 备注：须提供证书复印件加盖投标人公章。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至今同类项目业绩证明，每提供1个有效业绩证明得1分，满分5分，不提供不得分。（业绩时间以合同签订时间为准，并提供合同扫描件。复印件能清晰的表明合同双方名称、项目内容和签署日期。同一个项目内容存续期的合同视为同一个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采用低价优先法计算，即满足招标文件要求且投标价格最低的报价为评标基准价，其价格分为满分。报价得分＝（基准价／投标报价）×20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投标人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详见附件：投标人认为有必要说明的问题.docx</w:t>
      </w:r>
    </w:p>
    <w:p>
      <w:pPr>
        <w:pStyle w:val="null3"/>
        <w:ind w:firstLine="960"/>
      </w:pPr>
      <w:r>
        <w:rPr>
          <w:rFonts w:ascii="仿宋_GB2312" w:hAnsi="仿宋_GB2312" w:cs="仿宋_GB2312" w:eastAsia="仿宋_GB2312"/>
        </w:rPr>
        <w:t>详见附件：1详细评审--项目重点难点分析、应对措施及相关的合理化建议.docx</w:t>
      </w:r>
    </w:p>
    <w:p>
      <w:pPr>
        <w:pStyle w:val="null3"/>
        <w:ind w:firstLine="960"/>
      </w:pPr>
      <w:r>
        <w:rPr>
          <w:rFonts w:ascii="仿宋_GB2312" w:hAnsi="仿宋_GB2312" w:cs="仿宋_GB2312" w:eastAsia="仿宋_GB2312"/>
        </w:rPr>
        <w:t>详见附件：2详细评审--运维服务方案.docx</w:t>
      </w:r>
    </w:p>
    <w:p>
      <w:pPr>
        <w:pStyle w:val="null3"/>
        <w:ind w:firstLine="960"/>
      </w:pPr>
      <w:r>
        <w:rPr>
          <w:rFonts w:ascii="仿宋_GB2312" w:hAnsi="仿宋_GB2312" w:cs="仿宋_GB2312" w:eastAsia="仿宋_GB2312"/>
        </w:rPr>
        <w:t>详见附件：3详细评审--进度安排.docx</w:t>
      </w:r>
    </w:p>
    <w:p>
      <w:pPr>
        <w:pStyle w:val="null3"/>
        <w:ind w:firstLine="960"/>
      </w:pPr>
      <w:r>
        <w:rPr>
          <w:rFonts w:ascii="仿宋_GB2312" w:hAnsi="仿宋_GB2312" w:cs="仿宋_GB2312" w:eastAsia="仿宋_GB2312"/>
        </w:rPr>
        <w:t>详见附件：4详细评审--质量保障措施及方案.docx</w:t>
      </w:r>
    </w:p>
    <w:p>
      <w:pPr>
        <w:pStyle w:val="null3"/>
        <w:ind w:firstLine="960"/>
      </w:pPr>
      <w:r>
        <w:rPr>
          <w:rFonts w:ascii="仿宋_GB2312" w:hAnsi="仿宋_GB2312" w:cs="仿宋_GB2312" w:eastAsia="仿宋_GB2312"/>
        </w:rPr>
        <w:t>详见附件：5详细评审--应急措施.docx</w:t>
      </w:r>
    </w:p>
    <w:p>
      <w:pPr>
        <w:pStyle w:val="null3"/>
        <w:ind w:firstLine="960"/>
      </w:pPr>
      <w:r>
        <w:rPr>
          <w:rFonts w:ascii="仿宋_GB2312" w:hAnsi="仿宋_GB2312" w:cs="仿宋_GB2312" w:eastAsia="仿宋_GB2312"/>
        </w:rPr>
        <w:t>详见附件：6详细评审--项目团队.docx</w:t>
      </w:r>
    </w:p>
    <w:p>
      <w:pPr>
        <w:pStyle w:val="null3"/>
        <w:ind w:firstLine="960"/>
      </w:pPr>
      <w:r>
        <w:rPr>
          <w:rFonts w:ascii="仿宋_GB2312" w:hAnsi="仿宋_GB2312" w:cs="仿宋_GB2312" w:eastAsia="仿宋_GB2312"/>
        </w:rPr>
        <w:t>详见附件：7详细评审--保密方案.docx</w:t>
      </w:r>
    </w:p>
    <w:p>
      <w:pPr>
        <w:pStyle w:val="null3"/>
        <w:ind w:firstLine="960"/>
      </w:pPr>
      <w:r>
        <w:rPr>
          <w:rFonts w:ascii="仿宋_GB2312" w:hAnsi="仿宋_GB2312" w:cs="仿宋_GB2312" w:eastAsia="仿宋_GB2312"/>
        </w:rPr>
        <w:t>详见附件：8详细评审--服务承诺.docx</w:t>
      </w:r>
    </w:p>
    <w:p>
      <w:pPr>
        <w:pStyle w:val="null3"/>
        <w:ind w:firstLine="960"/>
      </w:pPr>
      <w:r>
        <w:rPr>
          <w:rFonts w:ascii="仿宋_GB2312" w:hAnsi="仿宋_GB2312" w:cs="仿宋_GB2312" w:eastAsia="仿宋_GB2312"/>
        </w:rPr>
        <w:t>详见附件：9详细评审--企业实力.docx</w:t>
      </w:r>
    </w:p>
    <w:p>
      <w:pPr>
        <w:pStyle w:val="null3"/>
        <w:ind w:firstLine="960"/>
      </w:pPr>
      <w:r>
        <w:rPr>
          <w:rFonts w:ascii="仿宋_GB2312" w:hAnsi="仿宋_GB2312" w:cs="仿宋_GB2312" w:eastAsia="仿宋_GB2312"/>
        </w:rPr>
        <w:t>详见附件：10详细评审--业绩.docx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