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版本号：XHZB-26-03220260417001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陕南油茶低产林改造标准化示范项目-油茶低产林改造标准化示范园管护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XHZB-26-032</w:t>
      </w:r>
      <w:r>
        <w:br/>
      </w:r>
      <w:r>
        <w:br/>
      </w:r>
      <w:r>
        <w:br/>
      </w:r>
    </w:p>
    <w:p>
      <w:pPr>
        <w:pStyle w:val="null3"/>
        <w:jc w:val="center"/>
        <w:outlineLvl w:val="2"/>
      </w:pPr>
      <w:r>
        <w:rPr>
          <w:rFonts w:ascii="仿宋_GB2312" w:hAnsi="仿宋_GB2312" w:cs="仿宋_GB2312" w:eastAsia="仿宋_GB2312"/>
          <w:sz w:val="28"/>
          <w:b/>
        </w:rPr>
        <w:t>陕西省林业科技推广与国际项目管理中心</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陕西省林业科技推广与国际项目管理中心</w:t>
      </w:r>
      <w:r>
        <w:rPr>
          <w:rFonts w:ascii="仿宋_GB2312" w:hAnsi="仿宋_GB2312" w:cs="仿宋_GB2312" w:eastAsia="仿宋_GB2312"/>
        </w:rPr>
        <w:t>委托，拟对</w:t>
      </w:r>
      <w:r>
        <w:rPr>
          <w:rFonts w:ascii="仿宋_GB2312" w:hAnsi="仿宋_GB2312" w:cs="仿宋_GB2312" w:eastAsia="仿宋_GB2312"/>
        </w:rPr>
        <w:t>陕南油茶低产林改造标准化示范项目-油茶低产林改造标准化示范园管护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陕南油茶低产林改造标准化示范项目-油茶低产林改造标准化示范园管护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在安康市汉阴县推广密度调整、土壤改良、整形修剪和适时采收等油茶低产林改造关键技术，建立油茶低产林改造标准化示范园680亩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采购包1（陕南油茶低产林改造标准化示范项目-油茶低产林改造标准化示范园管护）：属于专门面向中小企业采购。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合法人员：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4、联合体：本项目（合同包）不接受联合体磋商。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陕西省林业科技推广与国际项目管理中心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029-88652510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以项目中标(成交)价为基数计算收取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陕西省林业科技推广与国际项目管理中心</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陕西省林业科技推广与国际项目管理中心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陕西省林业科技推广与国际项目管理中心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按照陕南油茶低产林改造标准化示范项目-油茶低产林改造标准化示范园管护整体服务标准要求，达到合格标准。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陕西省林业科技推广与国际项目管理中心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在安康市汉阴县推广密度调整、土壤改良、整形修剪和适时采收等油茶低产林改造关键技术，建立油茶低产林改造标准化示范园</w:t>
      </w:r>
      <w:r>
        <w:rPr>
          <w:rFonts w:ascii="仿宋_GB2312" w:hAnsi="仿宋_GB2312" w:cs="仿宋_GB2312" w:eastAsia="仿宋_GB2312"/>
          <w:sz w:val="21"/>
        </w:rPr>
        <w:t>680亩。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陕南油茶低产林改造标准化示范项目-油茶低产林改造标准化示范园管护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标的名称：陕南油茶低产林改造标准化示范项目-油茶低产林改造标准化示范园管护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1.密度调整</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“间密补稀、留优去劣”原则，根据立地条件，采用（2.5～4）m×3m株行距配置，将每亩保留株数调整为53株～74株，保持郁闭度0.7～0.8。避免出现“一穴多株”或“根蘖萌条”的情况。</w:t>
            </w:r>
          </w:p>
          <w:p>
            <w:pPr>
              <w:pStyle w:val="null3"/>
              <w:ind w:firstLine="480"/>
              <w:jc w:val="both"/>
            </w:pPr>
            <w:r>
              <w:rPr>
                <w:rFonts w:ascii="仿宋_GB2312" w:hAnsi="仿宋_GB2312" w:cs="仿宋_GB2312" w:eastAsia="仿宋_GB2312"/>
                <w:sz w:val="24"/>
              </w:rPr>
              <w:t>2.土壤改良</w:t>
            </w:r>
          </w:p>
          <w:p>
            <w:pPr>
              <w:pStyle w:val="null3"/>
              <w:ind w:firstLine="480"/>
              <w:jc w:val="both"/>
            </w:pPr>
            <w:r>
              <w:rPr>
                <w:rFonts w:ascii="仿宋_GB2312" w:hAnsi="仿宋_GB2312" w:cs="仿宋_GB2312" w:eastAsia="仿宋_GB2312"/>
                <w:sz w:val="24"/>
              </w:rPr>
              <w:t>隔年对土壤进行深翻改土，在</w:t>
            </w:r>
            <w:r>
              <w:rPr>
                <w:rFonts w:ascii="仿宋_GB2312" w:hAnsi="仿宋_GB2312" w:cs="仿宋_GB2312" w:eastAsia="仿宋_GB2312"/>
                <w:sz w:val="24"/>
              </w:rPr>
              <w:t>3～4月或11月结合施肥进行。在树冠投影外侧深翻约30cm。深翻过程中注意保护植株根系，避免伤根伤树。</w:t>
            </w:r>
          </w:p>
          <w:p>
            <w:pPr>
              <w:pStyle w:val="null3"/>
              <w:ind w:firstLine="480"/>
              <w:jc w:val="both"/>
            </w:pPr>
            <w:r>
              <w:rPr>
                <w:rFonts w:ascii="仿宋_GB2312" w:hAnsi="仿宋_GB2312" w:cs="仿宋_GB2312" w:eastAsia="仿宋_GB2312"/>
                <w:sz w:val="24"/>
              </w:rPr>
              <w:t>3.整形修剪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1）修剪时期。采果后和春季萌动前进行，即12月至次年2月。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2）修剪要求。根据树势进行合理修剪，生长势弱的重剪，生长势旺的轻剪。剪下的病虫枝就地烧毁或挖坑深埋，并做好除萌抹芽和花蕾摘除等工作。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3）培养丰产树形。对主枝不明显、无中心干的油茶树，培养成自然开心形树形或自然圆头形；对有明显主干的油茶树，培养成主干疏层形。</w:t>
            </w:r>
          </w:p>
          <w:p>
            <w:pPr>
              <w:pStyle w:val="null3"/>
              <w:ind w:firstLine="480"/>
              <w:jc w:val="both"/>
            </w:pPr>
            <w:r>
              <w:rPr>
                <w:rFonts w:ascii="仿宋_GB2312" w:hAnsi="仿宋_GB2312" w:cs="仿宋_GB2312" w:eastAsia="仿宋_GB2312"/>
                <w:sz w:val="24"/>
              </w:rPr>
              <w:t>4.水分管理</w:t>
            </w:r>
          </w:p>
          <w:p>
            <w:pPr>
              <w:pStyle w:val="null3"/>
              <w:ind w:firstLine="480"/>
              <w:jc w:val="both"/>
            </w:pPr>
            <w:r>
              <w:rPr>
                <w:rFonts w:ascii="仿宋_GB2312" w:hAnsi="仿宋_GB2312" w:cs="仿宋_GB2312" w:eastAsia="仿宋_GB2312"/>
                <w:sz w:val="24"/>
              </w:rPr>
              <w:t>在开花结果和果实膨大、油脂转化时期，视士壤墒情合理灌水，雨季及时排水。</w:t>
            </w:r>
          </w:p>
          <w:p>
            <w:pPr>
              <w:pStyle w:val="null3"/>
              <w:ind w:firstLine="480"/>
              <w:jc w:val="both"/>
            </w:pPr>
            <w:r>
              <w:rPr>
                <w:rFonts w:ascii="仿宋_GB2312" w:hAnsi="仿宋_GB2312" w:cs="仿宋_GB2312" w:eastAsia="仿宋_GB2312"/>
                <w:sz w:val="24"/>
              </w:rPr>
              <w:t>5.适时采收</w:t>
            </w:r>
          </w:p>
          <w:p>
            <w:pPr>
              <w:pStyle w:val="null3"/>
              <w:ind w:firstLine="480"/>
              <w:jc w:val="both"/>
            </w:pPr>
            <w:r>
              <w:rPr>
                <w:rFonts w:ascii="仿宋_GB2312" w:hAnsi="仿宋_GB2312" w:cs="仿宋_GB2312" w:eastAsia="仿宋_GB2312"/>
                <w:sz w:val="24"/>
              </w:rPr>
              <w:t>油茶果实成熟后适时采摘，采后及时晾晒、储藏。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根据项目服务要求，供应商自行配置人员。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根据本项目实施情况，供应商自行提供。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2026年5月-2026年12月，后续管护2年。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安康市汉阴县。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按照陕南油茶低产林改造标准化示范项目-油茶低产林改造标准化示范园管护整体服务标准要求，达到合格标准。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当年任务检查合格后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中标（成交）人在领取中标（成交）通知书时将纸质版投标（响应）文件正本1册、副本2册打印胶装盖章后提交至采购代理机构处，以便采购人进行留存备案等工作，中标（成交）人应保证投标（响应）文件文件纸质版内容与平台上传电子版内容完全一致，否则将承担一切法律责任。2.中小微企业（农、林、牧、渔业）划型标准：营业收入20000万元以下的为中小微型企业。其中，营业收入500万元及以上的为中型企业，营业收入50万元及以上的为小型企业，营业收入50万元以下的为微型企业。3.由于系统原因，采购人系统登记的单位名称为：陕西省林业科技推广与国际项目管理中心，实际采购人单位名称为：陕西省林业科技推广与国际项目管理中心（陕西省林业工作站），供应商编制投标（响应）文件时按照任意一个填写均可，但后续签订采购合同时，将按照实际采购人单位名称签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在资格证明材料中提供：1）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2）财务状况报告：提供2024年度或2025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3）税收缴纳证明：提供自2025年4月1日以来已缴纳的至少一个月的纳税凭证或完税证明（任意税种），完税证明上应有代收机构或税务机关的公章；依法免税的供应商应提供相关文件证明；4）社保缴纳证明：提供自2025年4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本采购包专门面向中小企业采购（监狱企业、残疾人福利性单位视同小型、微型企业）。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授权合法人员</w:t>
            </w:r>
          </w:p>
        </w:tc>
        <w:tc>
          <w:tcPr>
            <w:tcW w:type="dxa" w:w="3322"/>
          </w:tcPr>
          <w:p>
            <w:pPr>
              <w:pStyle w:val="null3"/>
            </w:pPr>
            <w:r>
              <w:rPr>
                <w:rFonts w:ascii="仿宋_GB2312" w:hAnsi="仿宋_GB2312" w:cs="仿宋_GB2312" w:eastAsia="仿宋_GB2312"/>
              </w:rPr>
              <w:t>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rFonts w:ascii="仿宋_GB2312" w:hAnsi="仿宋_GB2312" w:cs="仿宋_GB2312" w:eastAsia="仿宋_GB2312"/>
              </w:rPr>
              <w:t>响应文件封面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本项目（合同包）不接受联合体磋商。</w:t>
            </w:r>
          </w:p>
        </w:tc>
        <w:tc>
          <w:tcPr>
            <w:tcW w:type="dxa" w:w="1661"/>
          </w:tcPr>
          <w:p>
            <w:pPr>
              <w:pStyle w:val="null3"/>
            </w:pPr>
            <w:r>
              <w:rPr>
                <w:rFonts w:ascii="仿宋_GB2312" w:hAnsi="仿宋_GB2312" w:cs="仿宋_GB2312" w:eastAsia="仿宋_GB2312"/>
              </w:rPr>
              <w:t>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评审委员会启动异常低价投标（响应）审查程序后，要求投标人在评标委员会规定的期限内提供书面文件予以解释说明，并提交相关证明材料；如果其不能够在评标委员会规定时间内提供相关材料证明其报价的合理性，其最后报价为无效报价。 质询工作应当由全体评标委员会成员参加。对于实质性不符合招标文件的，评标委员会有权予以拒绝。质询工作应做书面记录，采购人代表、评标委员会成员及投标人应在记录上签字确认。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标的清单 陕西省政府采购供应商拒绝政府采购领域商业贿赂承诺书 报价表 响应函 技术要求及商务要求偏离表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磋商响应文件的签署、加盖印章是否合格、有效；提供的各种证明文件、数据、资料是否真实、有效。磋商有效期是否满足磋商文件规定，授权期限是否满足磋商文件中规定的有效期；</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标的清单 陕西省政府采购供应商拒绝政府采购领域商业贿赂承诺书 报价表 响应函 技术要求及商务要求偏离表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对于采购文件要求响应的内容磋商响应文件是否做到全部响应；</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标的清单 陕西省政府采购供应商拒绝政府采购领域商业贿赂承诺书 报价表 响应函 技术要求及商务要求偏离表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服务期限是否符合要求；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磋商文件规定的其他要求</w:t>
            </w:r>
          </w:p>
        </w:tc>
        <w:tc>
          <w:tcPr>
            <w:tcW w:type="dxa" w:w="3322"/>
          </w:tcPr>
          <w:p>
            <w:pPr>
              <w:pStyle w:val="null3"/>
            </w:pPr>
            <w:r>
              <w:rPr>
                <w:rFonts w:ascii="仿宋_GB2312" w:hAnsi="仿宋_GB2312" w:cs="仿宋_GB2312" w:eastAsia="仿宋_GB2312"/>
              </w:rPr>
              <w:t>是否满足磋商文件规定的其他要求。</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标的清单 陕西省政府采购供应商拒绝政府采购领域商业贿赂承诺书 报价表 响应函 技术要求及商务要求偏离表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针对本项目提供切合项目需求的整体服务方案。 方案完整全面、可实施性及针对性强的得15分； 方案较全面、可实施性及针对性较强的得14分； 方案一般、可实施性及针对性一般的得13分； 方案较差、可实施性及针对性较差的得10分； 方案不全、可实施性及针对性差的得8分； 未提供或提供内容与本条无关的得0分。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项目实施进度保障</w:t>
            </w:r>
          </w:p>
        </w:tc>
        <w:tc>
          <w:tcPr>
            <w:tcW w:type="dxa" w:w="2492"/>
          </w:tcPr>
          <w:p>
            <w:pPr>
              <w:pStyle w:val="null3"/>
            </w:pPr>
            <w:r>
              <w:rPr>
                <w:rFonts w:ascii="仿宋_GB2312" w:hAnsi="仿宋_GB2312" w:cs="仿宋_GB2312" w:eastAsia="仿宋_GB2312"/>
              </w:rPr>
              <w:t>针对本项目提供的进度保障措施。 进度保障措施完整全面、针对性强，完全满足采购要求的得10分； 进度保障措施较为全面、针对性较好，基本满足采购要求的得9分； 进度保障措施一般、针对性一般，基本满足采购要求的得8分； 进度保障措施较差、针对性较差，不能完全满足采购要求的得5分； 进度保障措施不利、针对性差，无法满足采购要求的得4分；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服务质量管理体系及保障措施</w:t>
            </w:r>
          </w:p>
        </w:tc>
        <w:tc>
          <w:tcPr>
            <w:tcW w:type="dxa" w:w="2492"/>
          </w:tcPr>
          <w:p>
            <w:pPr>
              <w:pStyle w:val="null3"/>
            </w:pPr>
            <w:r>
              <w:rPr>
                <w:rFonts w:ascii="仿宋_GB2312" w:hAnsi="仿宋_GB2312" w:cs="仿宋_GB2312" w:eastAsia="仿宋_GB2312"/>
              </w:rPr>
              <w:t>针对本项目服务提供的服务质量管理体系及保障措施。 服务质量目标明确，管理体系健全，保障措施全面，得10分； 服务质量目标较明确，管理体系较全，保障措施较全面，得9分； 服务质量目标基本明确，管理体系及保障措施一般，得8分； 服务质量目标较差，管理体系及保障措施较差，得5分； 产品质量目标不明确，管理体系不全，保障措施不利，得4分；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针对本项目提供的应急预案。 应急预案内容全面、可实施性及针对性强的得10分； 应急预案内容较全面、可实施性及针对性较好的得9分； 应急预案内容一般、可实施性及针对性一般的得8分； 应急预案内容较差、可实施性及针对性较差的得5分； 应急预案内容不全、可实施性及针对性差的得4分；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针对本项目制定合理的环境保护措施，确保项目实施过程不会对周边环境造成污染。 环境保护措施全面、针对性强的得10分； 环境保护措施较全面、针对性较好的得9分； 环境保护措施一般、针对性一般的得8分； 环境保护措施较差、针对性较差的得5分； 环境保护措施不利、针对性差的得4分；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后续管护方案</w:t>
            </w:r>
          </w:p>
        </w:tc>
        <w:tc>
          <w:tcPr>
            <w:tcW w:type="dxa" w:w="2492"/>
          </w:tcPr>
          <w:p>
            <w:pPr>
              <w:pStyle w:val="null3"/>
            </w:pPr>
            <w:r>
              <w:rPr>
                <w:rFonts w:ascii="仿宋_GB2312" w:hAnsi="仿宋_GB2312" w:cs="仿宋_GB2312" w:eastAsia="仿宋_GB2312"/>
              </w:rPr>
              <w:t>针对本项目提供的后续管护方案。 后续管护方案完整全面、可实施性及针对性强的得10分； 后续管护方案较全面、可实施性及针对性较强的得9分； 后续管护方案一般、可实施性及针对性一般的得8分； 后续管护方案较差、可实施性及针对性较差的得5分； 后续管护方案不全、可实施性及针对性差的得4分；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每提供一份2023年01月01日起至本项目响应文件递交截止时间止的类似项目业绩得2分，最多得10分。以响应文件中所附业绩合同或中标通知书复印件或扫描件为准。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w:t>
            </w:r>
          </w:p>
        </w:tc>
      </w:tr>
      <w:tr>
        <w:tc>
          <w:tcPr>
            <w:tcW w:type="dxa" w:w="831"/>
            <w:vMerge/>
          </w:tcPr>
          <w:p/>
        </w:tc>
        <w:tc>
          <w:tcPr>
            <w:tcW w:type="dxa" w:w="1661"/>
          </w:tcPr>
          <w:p>
            <w:pPr>
              <w:pStyle w:val="null3"/>
            </w:pPr>
            <w:r>
              <w:rPr>
                <w:rFonts w:ascii="仿宋_GB2312" w:hAnsi="仿宋_GB2312" w:cs="仿宋_GB2312" w:eastAsia="仿宋_GB2312"/>
              </w:rPr>
              <w:t>技术及商务偏离</w:t>
            </w:r>
          </w:p>
        </w:tc>
        <w:tc>
          <w:tcPr>
            <w:tcW w:type="dxa" w:w="2492"/>
          </w:tcPr>
          <w:p>
            <w:pPr>
              <w:pStyle w:val="null3"/>
            </w:pPr>
            <w:r>
              <w:rPr>
                <w:rFonts w:ascii="仿宋_GB2312" w:hAnsi="仿宋_GB2312" w:cs="仿宋_GB2312" w:eastAsia="仿宋_GB2312"/>
              </w:rPr>
              <w:t>磋商小组根据供应商提供的《技术要求及商务要求偏离表》对技术要求及商务要求响应情况进行评审，完全满足（等于或者优于）磋商文件要求得15分，每出现一项负偏离（低于磋商文件要求）扣1分，扣完为止。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技术要求及商务要求偏离表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磋商报价得分=(磋商基准价／磋商报价)×价格权值×100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详见附件：近年完成类似项目情况表</w:t>
      </w:r>
    </w:p>
    <w:p>
      <w:pPr>
        <w:pStyle w:val="null3"/>
        <w:ind w:firstLine="960"/>
      </w:pPr>
      <w:r>
        <w:rPr>
          <w:rFonts w:ascii="仿宋_GB2312" w:hAnsi="仿宋_GB2312" w:cs="仿宋_GB2312" w:eastAsia="仿宋_GB2312"/>
        </w:rPr>
        <w:t>详见附件：技术要求及商务要求偏离表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