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版本号：ZX2026-04-0920260415001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陕西省未来产业专利导航项目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ZX2026-04-09</w:t>
      </w:r>
      <w:r>
        <w:br/>
      </w:r>
      <w:r>
        <w:br/>
      </w:r>
      <w:r>
        <w:br/>
      </w:r>
    </w:p>
    <w:p>
      <w:pPr>
        <w:pStyle w:val="null3"/>
        <w:jc w:val="center"/>
        <w:outlineLvl w:val="2"/>
      </w:pPr>
      <w:r>
        <w:rPr>
          <w:rFonts w:ascii="仿宋_GB2312" w:hAnsi="仿宋_GB2312" w:cs="仿宋_GB2312" w:eastAsia="仿宋_GB2312"/>
          <w:sz w:val="28"/>
          <w:b/>
        </w:rPr>
        <w:t>陕西省知识产权局机关</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陕西省知识产权局机关</w:t>
      </w:r>
      <w:r>
        <w:rPr>
          <w:rFonts w:ascii="仿宋_GB2312" w:hAnsi="仿宋_GB2312" w:cs="仿宋_GB2312" w:eastAsia="仿宋_GB2312"/>
        </w:rPr>
        <w:t>委托，拟对</w:t>
      </w:r>
      <w:r>
        <w:rPr>
          <w:rFonts w:ascii="仿宋_GB2312" w:hAnsi="仿宋_GB2312" w:cs="仿宋_GB2312" w:eastAsia="仿宋_GB2312"/>
        </w:rPr>
        <w:t>陕西省未来产业专利导航项目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ZX2026-04-09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陕西省未来产业专利导航项目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陕西省未来产业专利导航项目，1项，具体内容详见磋商文件第三章。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采购包1（陕西省未来产业专利导航项目）：属于专门面向中小企业采购。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1、法定代表人授权委托书：法定代表人参加磋商的，须提供法定代表人身份证复印件；法定代表人授权本单位他人参加磋商的，须提供法定代表人授权委托书。</w:t>
      </w:r>
    </w:p>
    <w:p>
      <w:pPr>
        <w:pStyle w:val="null3"/>
      </w:pPr>
      <w:r>
        <w:rPr>
          <w:rFonts w:ascii="仿宋_GB2312" w:hAnsi="仿宋_GB2312" w:cs="仿宋_GB2312" w:eastAsia="仿宋_GB2312"/>
        </w:rPr>
        <w:t>2、本项目不接受联合体投标，不允许分包：本项目不接受联合体磋商，不允许分包。供应商应提供《非联合体不分包投标声明》。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陕西省知识产权局机关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陕西省西安市新城区新城大院省政府大楼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029-63916861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胡怡洁 王宇轩 崔文 曹婷 马演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采购包1保证金金额：30,409.00元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开户银行：中国银行西安北大街支行营业部</w:t>
            </w:r>
          </w:p>
          <w:p>
            <w:pPr>
              <w:pStyle w:val="null3"/>
            </w:pPr>
            <w:r>
              <w:rPr>
                <w:rFonts w:ascii="仿宋_GB2312" w:hAnsi="仿宋_GB2312" w:cs="仿宋_GB2312" w:eastAsia="仿宋_GB2312"/>
              </w:rPr>
              <w:t>银行账号：102119413784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代理服务费收费标准：参照国家计委计价格〔2002〕1980号及发改办价格〔2003〕857号通知规定计取，由成交供应商支付代理服务费。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陕西省知识产权局机关</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陕西省知识产权局机关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陕西省知识产权局机关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按照采购文件、响应文件以及合同要求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联系人：胡怡洁 王宇轩 蔡丹</w:t>
      </w:r>
    </w:p>
    <w:p>
      <w:pPr>
        <w:pStyle w:val="null3"/>
      </w:pPr>
      <w:r>
        <w:rPr>
          <w:rFonts w:ascii="仿宋_GB2312" w:hAnsi="仿宋_GB2312" w:cs="仿宋_GB2312" w:eastAsia="仿宋_GB2312"/>
        </w:rPr>
        <w:t>联系电话：029-88110800转8030（1041800645@qq.com）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陕西省未来产业专利导航项目，1项。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1,700,000.00</w:t>
      </w:r>
    </w:p>
    <w:p>
      <w:pPr>
        <w:pStyle w:val="null3"/>
      </w:pPr>
      <w:r>
        <w:rPr>
          <w:rFonts w:ascii="仿宋_GB2312" w:hAnsi="仿宋_GB2312" w:cs="仿宋_GB2312" w:eastAsia="仿宋_GB2312"/>
        </w:rPr>
        <w:t>采购包最高限价（元）: 1,700,000.00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1700000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标的名称：1700000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2"/>
              </w:rPr>
              <w:t>一、项目基本情况</w:t>
            </w:r>
          </w:p>
          <w:p>
            <w:pPr>
              <w:pStyle w:val="null3"/>
              <w:ind w:firstLine="440"/>
              <w:jc w:val="both"/>
            </w:pPr>
            <w:r>
              <w:rPr>
                <w:rFonts w:ascii="仿宋_GB2312" w:hAnsi="仿宋_GB2312" w:cs="仿宋_GB2312" w:eastAsia="仿宋_GB2312"/>
                <w:sz w:val="22"/>
              </w:rPr>
              <w:t>（一）项目名称</w:t>
            </w:r>
          </w:p>
          <w:p>
            <w:pPr>
              <w:pStyle w:val="null3"/>
              <w:ind w:firstLine="440"/>
              <w:jc w:val="both"/>
            </w:pPr>
            <w:r>
              <w:rPr>
                <w:rFonts w:ascii="仿宋_GB2312" w:hAnsi="仿宋_GB2312" w:cs="仿宋_GB2312" w:eastAsia="仿宋_GB2312"/>
                <w:sz w:val="22"/>
              </w:rPr>
              <w:t>陕西省未来产业专利导航项目</w:t>
            </w:r>
          </w:p>
          <w:p>
            <w:pPr>
              <w:pStyle w:val="null3"/>
              <w:ind w:firstLine="440"/>
              <w:jc w:val="both"/>
            </w:pPr>
            <w:r>
              <w:rPr>
                <w:rFonts w:ascii="仿宋_GB2312" w:hAnsi="仿宋_GB2312" w:cs="仿宋_GB2312" w:eastAsia="仿宋_GB2312"/>
                <w:sz w:val="22"/>
              </w:rPr>
              <w:t>（二）采购内容</w:t>
            </w:r>
          </w:p>
          <w:p>
            <w:pPr>
              <w:pStyle w:val="null3"/>
              <w:ind w:firstLine="440"/>
              <w:jc w:val="both"/>
            </w:pPr>
            <w:r>
              <w:rPr>
                <w:rFonts w:ascii="仿宋_GB2312" w:hAnsi="仿宋_GB2312" w:cs="仿宋_GB2312" w:eastAsia="仿宋_GB2312"/>
                <w:sz w:val="22"/>
              </w:rPr>
              <w:t>招引具备实施专利导航能力的知识产权服务机构，有省级（含）以上专利导航项目经验，能按照省知识产权局要求完成陕西省未来产业专利导航任务。</w:t>
            </w:r>
          </w:p>
          <w:p>
            <w:pPr>
              <w:pStyle w:val="null3"/>
              <w:ind w:firstLine="440"/>
              <w:jc w:val="both"/>
            </w:pPr>
            <w:r>
              <w:rPr>
                <w:rFonts w:ascii="仿宋_GB2312" w:hAnsi="仿宋_GB2312" w:cs="仿宋_GB2312" w:eastAsia="仿宋_GB2312"/>
                <w:sz w:val="22"/>
              </w:rPr>
              <w:t>（三）项目目标</w:t>
            </w:r>
          </w:p>
          <w:p>
            <w:pPr>
              <w:pStyle w:val="null3"/>
              <w:ind w:firstLine="440"/>
              <w:jc w:val="both"/>
            </w:pPr>
            <w:r>
              <w:rPr>
                <w:rFonts w:ascii="仿宋_GB2312" w:hAnsi="仿宋_GB2312" w:cs="仿宋_GB2312" w:eastAsia="仿宋_GB2312"/>
                <w:sz w:val="22"/>
              </w:rPr>
              <w:t>聚焦陕西省未来产业规划，严格依据《专利导航指南》（</w:t>
            </w:r>
            <w:r>
              <w:rPr>
                <w:rFonts w:ascii="仿宋_GB2312" w:hAnsi="仿宋_GB2312" w:cs="仿宋_GB2312" w:eastAsia="仿宋_GB2312"/>
                <w:sz w:val="22"/>
              </w:rPr>
              <w:t>GB/T 39551-2020）国家标准及陕西省知识产权局工作要求，系统开展产业专利导航项目实施。以专利大数据为核心，深度融合产业政策、技术演进、市场竞争、创新主体等多维信息，开展全景式专利信息挖掘与量化分析，形成体系化、标准化、可落地的产业专利导航报告，为政策精准制定、创新资源优化配置与产业链安全决策提供支撑。通过成果发布、推广等多元形式，推动专利导航结论转化为产业发展动能、创新行动指南与政策实施抓手，全面赋能陕西省未来产业高质量发展与新质生产力加速形成。</w:t>
            </w:r>
          </w:p>
          <w:p>
            <w:pPr>
              <w:pStyle w:val="null3"/>
              <w:jc w:val="both"/>
            </w:pPr>
            <w:r>
              <w:rPr>
                <w:rFonts w:ascii="仿宋_GB2312" w:hAnsi="仿宋_GB2312" w:cs="仿宋_GB2312" w:eastAsia="仿宋_GB2312"/>
                <w:sz w:val="22"/>
              </w:rPr>
              <w:t>二、项目要求</w:t>
            </w:r>
          </w:p>
          <w:p>
            <w:pPr>
              <w:pStyle w:val="null3"/>
              <w:ind w:firstLine="440"/>
              <w:jc w:val="both"/>
            </w:pPr>
            <w:r>
              <w:rPr>
                <w:rFonts w:ascii="仿宋_GB2312" w:hAnsi="仿宋_GB2312" w:cs="仿宋_GB2312" w:eastAsia="仿宋_GB2312"/>
                <w:sz w:val="22"/>
              </w:rPr>
              <w:t>（一）导航报告要求</w:t>
            </w:r>
          </w:p>
          <w:p>
            <w:pPr>
              <w:pStyle w:val="null3"/>
              <w:ind w:firstLine="440"/>
              <w:jc w:val="both"/>
            </w:pPr>
            <w:r>
              <w:rPr>
                <w:rFonts w:ascii="仿宋_GB2312" w:hAnsi="仿宋_GB2312" w:cs="仿宋_GB2312" w:eastAsia="仿宋_GB2312"/>
                <w:sz w:val="22"/>
              </w:rPr>
              <w:t>专利导航报告要求严格遵循《专利导航指南》（</w:t>
            </w:r>
            <w:r>
              <w:rPr>
                <w:rFonts w:ascii="仿宋_GB2312" w:hAnsi="仿宋_GB2312" w:cs="仿宋_GB2312" w:eastAsia="仿宋_GB2312"/>
                <w:sz w:val="22"/>
              </w:rPr>
              <w:t>GB/T 39551-2020）系列国家标准（含总则、产业规划类专利导航等专项指南及服务要求），立足陕西省未来产业规划布局，围绕专利导航核心目标，明确报告撰写的分层要求，报告内容完整、逻辑严谨、数据翔实、结论可行，全面支撑政府决策、产业规划与企业创新。遵循独立性、客观性、科学性、实用性原则，确保分析过程不受外部不当干预，基于真实数据开展分析，采用规范的分析方法与模型，最终成果能够切实解决产业创新与决策中的实际问题。需完整覆盖《专利导航指南》规定的流程，明确各环节工作内容、实施方法及质量控制措施，确保导航工作闭环推进，避免流程缺失或简化。落实指南中“以专利数据为核心，深度融合产业、市场、政策、创新主体等多源信息”的要求，打破单一专利数据分析局限，确保分析结果贴合陕西省未来产业发展实际，具备实操性与指导性。报告需符合指南规定的成果输出标准，明确成果适用场景，确保成果可转化、可应用，同时为后续成果备案、推广奠定基础。</w:t>
            </w:r>
          </w:p>
          <w:p>
            <w:pPr>
              <w:pStyle w:val="null3"/>
              <w:ind w:firstLine="440"/>
              <w:jc w:val="both"/>
            </w:pPr>
            <w:r>
              <w:rPr>
                <w:rFonts w:ascii="仿宋_GB2312" w:hAnsi="仿宋_GB2312" w:cs="仿宋_GB2312" w:eastAsia="仿宋_GB2312"/>
                <w:sz w:val="22"/>
              </w:rPr>
              <w:t>（二）成果梳理汇编要求</w:t>
            </w:r>
          </w:p>
          <w:p>
            <w:pPr>
              <w:pStyle w:val="null3"/>
              <w:ind w:firstLine="440"/>
              <w:jc w:val="both"/>
            </w:pPr>
            <w:r>
              <w:rPr>
                <w:rFonts w:ascii="仿宋_GB2312" w:hAnsi="仿宋_GB2312" w:cs="仿宋_GB2312" w:eastAsia="仿宋_GB2312"/>
                <w:sz w:val="22"/>
              </w:rPr>
              <w:t>系统调研未来产业的产业现状，根据调研情况开展未来产业专利导航并形成专利导航报告、专利导航数据检索报告、专利导航简报等阶段性成果，形成完整、规范的成果。</w:t>
            </w:r>
          </w:p>
          <w:p>
            <w:pPr>
              <w:pStyle w:val="null3"/>
              <w:ind w:firstLine="440"/>
              <w:jc w:val="both"/>
            </w:pPr>
            <w:r>
              <w:rPr>
                <w:rFonts w:ascii="仿宋_GB2312" w:hAnsi="仿宋_GB2312" w:cs="仿宋_GB2312" w:eastAsia="仿宋_GB2312"/>
                <w:sz w:val="22"/>
              </w:rPr>
              <w:t>（三）导航推广要求</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1）制定全面的导航宣传推广方案，整合报刊杂志、各级媒体资源</w:t>
            </w:r>
            <w:r>
              <w:rPr>
                <w:rFonts w:ascii="仿宋_GB2312" w:hAnsi="仿宋_GB2312" w:cs="仿宋_GB2312" w:eastAsia="仿宋_GB2312"/>
                <w:sz w:val="22"/>
              </w:rPr>
              <w:t>（</w:t>
            </w:r>
            <w:r>
              <w:rPr>
                <w:rFonts w:ascii="仿宋_GB2312" w:hAnsi="仿宋_GB2312" w:cs="仿宋_GB2312" w:eastAsia="仿宋_GB2312"/>
                <w:sz w:val="22"/>
              </w:rPr>
              <w:t>报纸、电视</w:t>
            </w:r>
            <w:r>
              <w:rPr>
                <w:rFonts w:ascii="仿宋_GB2312" w:hAnsi="仿宋_GB2312" w:cs="仿宋_GB2312" w:eastAsia="仿宋_GB2312"/>
                <w:sz w:val="22"/>
              </w:rPr>
              <w:t>）</w:t>
            </w:r>
            <w:r>
              <w:rPr>
                <w:rFonts w:ascii="仿宋_GB2312" w:hAnsi="仿宋_GB2312" w:cs="仿宋_GB2312" w:eastAsia="仿宋_GB2312"/>
                <w:sz w:val="22"/>
              </w:rPr>
              <w:t>，微信公众号、视频号等相关工作网站等进行宣传推广，省级主流媒体不少于</w:t>
            </w:r>
            <w:r>
              <w:rPr>
                <w:rFonts w:ascii="仿宋_GB2312" w:hAnsi="仿宋_GB2312" w:cs="仿宋_GB2312" w:eastAsia="仿宋_GB2312"/>
                <w:sz w:val="22"/>
              </w:rPr>
              <w:t>2家，</w:t>
            </w:r>
            <w:r>
              <w:rPr>
                <w:rFonts w:ascii="仿宋_GB2312" w:hAnsi="仿宋_GB2312" w:cs="仿宋_GB2312" w:eastAsia="仿宋_GB2312"/>
                <w:sz w:val="22"/>
              </w:rPr>
              <w:t>负责媒体对接、稿件撰写、内容发布、话题运营等工作，发布会前进行预热宣传、发布会中进行实时报道、发布会后进行深度解读，形成宣传闭环</w:t>
            </w:r>
            <w:r>
              <w:rPr>
                <w:rFonts w:ascii="仿宋_GB2312" w:hAnsi="仿宋_GB2312" w:cs="仿宋_GB2312" w:eastAsia="仿宋_GB2312"/>
                <w:sz w:val="22"/>
              </w:rPr>
              <w:t>；</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2）根据要求开展不少于3场导航发布会，负责发布会全流程策划与执行，包括场地选址、会场布置、嘉宾邀请、发布会报道、流程设计、现场主持、后勤保障、应急处理等，</w:t>
            </w:r>
            <w:r>
              <w:rPr>
                <w:rFonts w:ascii="仿宋_GB2312" w:hAnsi="仿宋_GB2312" w:cs="仿宋_GB2312" w:eastAsia="仿宋_GB2312"/>
                <w:sz w:val="22"/>
              </w:rPr>
              <w:t>场地面积不低于</w:t>
            </w:r>
            <w:r>
              <w:rPr>
                <w:rFonts w:ascii="仿宋_GB2312" w:hAnsi="仿宋_GB2312" w:cs="仿宋_GB2312" w:eastAsia="仿宋_GB2312"/>
                <w:sz w:val="22"/>
              </w:rPr>
              <w:t>200平方米。会场安排发放不少于30套导航报告简版纸质报告</w:t>
            </w:r>
            <w:r>
              <w:rPr>
                <w:rFonts w:ascii="仿宋_GB2312" w:hAnsi="仿宋_GB2312" w:cs="仿宋_GB2312" w:eastAsia="仿宋_GB2312"/>
                <w:sz w:val="22"/>
              </w:rPr>
              <w:t>；</w:t>
            </w:r>
          </w:p>
          <w:p>
            <w:pPr>
              <w:pStyle w:val="null3"/>
              <w:ind w:firstLine="440"/>
              <w:jc w:val="both"/>
            </w:pPr>
            <w:r>
              <w:rPr>
                <w:rFonts w:ascii="仿宋_GB2312" w:hAnsi="仿宋_GB2312" w:cs="仿宋_GB2312" w:eastAsia="仿宋_GB2312"/>
                <w:sz w:val="22"/>
              </w:rPr>
              <w:t>（四）物料设计印刷要求</w:t>
            </w:r>
          </w:p>
          <w:p>
            <w:pPr>
              <w:pStyle w:val="null3"/>
              <w:ind w:firstLine="440"/>
              <w:jc w:val="both"/>
            </w:pPr>
            <w:r>
              <w:rPr>
                <w:rFonts w:ascii="仿宋_GB2312" w:hAnsi="仿宋_GB2312" w:cs="仿宋_GB2312" w:eastAsia="仿宋_GB2312"/>
                <w:sz w:val="22"/>
              </w:rPr>
              <w:t>负责本次项目所有配套物料的设计与印刷，包括成果汇编手册、导航报告装订、海报等；</w:t>
            </w:r>
          </w:p>
          <w:p>
            <w:pPr>
              <w:pStyle w:val="null3"/>
              <w:ind w:firstLine="440"/>
              <w:jc w:val="both"/>
            </w:pPr>
            <w:r>
              <w:rPr>
                <w:rFonts w:ascii="仿宋_GB2312" w:hAnsi="仿宋_GB2312" w:cs="仿宋_GB2312" w:eastAsia="仿宋_GB2312"/>
                <w:sz w:val="22"/>
              </w:rPr>
              <w:t>印刷物料需保证纸张质量、印刷工艺，数量满足采购人需求，按时完成制作并送达指定地点。</w:t>
            </w:r>
          </w:p>
          <w:p>
            <w:pPr>
              <w:pStyle w:val="null3"/>
              <w:ind w:firstLine="440"/>
              <w:jc w:val="both"/>
            </w:pPr>
            <w:r>
              <w:rPr>
                <w:rFonts w:ascii="仿宋_GB2312" w:hAnsi="仿宋_GB2312" w:cs="仿宋_GB2312" w:eastAsia="仿宋_GB2312"/>
                <w:sz w:val="22"/>
              </w:rPr>
              <w:t>（五）全流程配套服务要求</w:t>
            </w:r>
          </w:p>
          <w:p>
            <w:pPr>
              <w:pStyle w:val="null3"/>
              <w:ind w:firstLine="440"/>
              <w:jc w:val="both"/>
            </w:pPr>
            <w:r>
              <w:rPr>
                <w:rFonts w:ascii="仿宋_GB2312" w:hAnsi="仿宋_GB2312" w:cs="仿宋_GB2312" w:eastAsia="仿宋_GB2312"/>
                <w:sz w:val="22"/>
              </w:rPr>
              <w:t>成立专属项目服务团队，提供</w:t>
            </w:r>
            <w:r>
              <w:rPr>
                <w:rFonts w:ascii="仿宋_GB2312" w:hAnsi="仿宋_GB2312" w:cs="仿宋_GB2312" w:eastAsia="仿宋_GB2312"/>
                <w:sz w:val="22"/>
              </w:rPr>
              <w:t>7×24小时沟通对接服务，及时响应采购人的需求和问题，定期向采购人汇报项目进展情况；</w:t>
            </w:r>
          </w:p>
          <w:p>
            <w:pPr>
              <w:pStyle w:val="null3"/>
              <w:ind w:firstLine="440"/>
              <w:jc w:val="both"/>
            </w:pPr>
            <w:r>
              <w:rPr>
                <w:rFonts w:ascii="仿宋_GB2312" w:hAnsi="仿宋_GB2312" w:cs="仿宋_GB2312" w:eastAsia="仿宋_GB2312"/>
                <w:sz w:val="22"/>
              </w:rPr>
              <w:t>负责项目所有环节的资料整理与归档，项目结束后向采购人提交完整的项目资料包，包括专利检索报告、专利导航报告、专利导航简报等文档电子版和纸质版、宣传数据、其他相关成果物料等；</w:t>
            </w:r>
          </w:p>
          <w:p>
            <w:pPr>
              <w:pStyle w:val="null3"/>
              <w:ind w:firstLine="440"/>
              <w:jc w:val="both"/>
            </w:pPr>
            <w:r>
              <w:rPr>
                <w:rFonts w:ascii="仿宋_GB2312" w:hAnsi="仿宋_GB2312" w:cs="仿宋_GB2312" w:eastAsia="仿宋_GB2312"/>
                <w:sz w:val="22"/>
              </w:rPr>
              <w:t>项目完成后，组织成果验收工作，配合采购人完成验收报告的撰写，针对验收中提出的问题及时整改。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合同签订后至 2026 年 12月 31 日前</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陕西省知识产权局指定地点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①质量标准，符合国家行业相关标准。②验收：根据磋商文件、成交供应商响应文件和合同文本执行。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项目完成并验收合格后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（2）未按合同要求提供的服务，采购人会同采购代理机构有权终止合同和对成交投标人的违约行为进行追究。 （3）成交供应商不能按期完成工作任务，每超过提交日期一天支付合同价款的千分之一，返还予采购人，作为赔偿。</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磋商保证金注意事项：（1）磋商保证金须从供应商户名支付，如从个人户名或非供应商户名支付，将被拒绝，视为自动放弃投标权利（该个人是供应商的情形除外）；以保函形式交纳磋商保证金的，供应商应在响应截止时间前将保函扫描成清晰的PDF文件，发送至邮箱2559647209@qq.com（邮件命名：项目编号），并将保函原件单独递交至代理机构财务；供应商应在磋商文件中附保函复印件。保函必须由具有开具投标保函资格的单位开具；若供应商违约，开具保函单位承担连带责任；（2）磋商保证金的提交金额、时间不满足磋商文件要求的，投标无效；（3）磋商保证金以采购代理机构到账凭证为准，供应商无需更换交纳凭证，由采购代理机构统一提供。（4）未按指定账户提交的，我公司将退回，供应商须在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4月（含4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4月（含4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赋予的验证码）（成立时间至提交投标文件截止时间不足一年的可提供成立后任意时段的资产负债表），或提交自2025年11月1日以来银行出具的资信证明，或信用担保机构出具的投标担保函（以上三种形式的资料提供任何一种即可）；其他组织和自然人提供银行出具的资信证明或财务报表。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应为中小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法定代表人参加磋商的，须提供法定代表人身份证复印件；法定代表人授权本单位他人参加磋商的，须提供法定代表人授权委托书。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本项目不接受联合体磋商，不允许分包。供应商应提供《非联合体不分包投标声明》。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磋商过程中出现下列情形之一的，磋商小组应当启动异常低价磋商审查程序：①磋商报价低于全部通过符合性审查供应商磋商报价平均值50%的，即磋商报价&lt;全部通过符合性审查供应商磋商报价平均值×50%； ②磋商报价低于通过符合性审查的次低报价供应商磋商报价50%的，即磋商报价&lt;通过符合性审查的次低报价供应商磋商报价×50%； ③磋商报价低于采购项目最高限价45%的，即磋商报价&lt;采购项目最高限价×45%； ④供应商基于专业判断，认为供应商报价过低，有可能影响产品质量或者不能诚信履约的其他情形。 二、磋商小组启动异常低价投标审查后，属于前述①至④情形的，应当要求相关供应商在评审现场合理的时间（30分钟）内对磋商价格作出解释，提供项目具体成本测算等与报价合理性相关的书面说明及必要的证明材料。书面说明应当包括：（1）按照国家财务会计制度的规定要求，逐项就供应商提供的货物、工程和服务的主营业务成本（应根据供应商企业类型予以区别）、税金及附加、原材料成本、人工成本、制造费用、销售费用、管理费用、财务费用等成本构成事项详细陈述。 （2）供应商以前完成类似规模项目与类似价格的业绩证明材料（合同、发票）。其中，属于③情形，供应商已随响应文件一并提交相关书面说明及必要的证明材料的，在评审现场可不再重复提交。 三、供应商提交的相关说明和证明材料，应当加盖供应商（法定名称）电子印章，在磋商小组要求的时间内通过项目电子化交易系统进行提交，否则提交的相关证明材料无效。供应商不能证明其磋商报价合理性的或未在规定时间提交上述（1）（2）材料的或者提供的材料不齐全的或者提供的材料不被专家认可的，磋商小组均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响应处理：（1）响应文件未按照磋商文件规定要求签署、盖章的；（2）不满足本磋商文件中“服务期限、服务地点、考核（验收）标准和方法、采购资金的支付方式及约定”的实质性条款要求的；（3）响应文件有效期不足的或无有效期的；（4）报价超过磋商文件中规定的预算金额或最高限价的；（5）法律、法规和磋商文件规定的其他无效情形。</w:t>
            </w:r>
          </w:p>
        </w:tc>
        <w:tc>
          <w:tcPr>
            <w:tcW w:type="dxa" w:w="1661"/>
          </w:tcPr>
          <w:p>
            <w:pPr>
              <w:pStyle w:val="null3"/>
            </w:pPr>
            <w:r>
              <w:rPr>
                <w:rFonts w:ascii="仿宋_GB2312" w:hAnsi="仿宋_GB2312" w:cs="仿宋_GB2312" w:eastAsia="仿宋_GB2312"/>
              </w:rPr>
              <w:t>响应文件封面 承诺书.docx 标的清单 商务部分偏离表.docx 响应函 资格证明文件.docx 分项价格表.docx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整体方案</w:t>
            </w:r>
          </w:p>
        </w:tc>
        <w:tc>
          <w:tcPr>
            <w:tcW w:type="dxa" w:w="2492"/>
          </w:tcPr>
          <w:p>
            <w:pPr>
              <w:pStyle w:val="null3"/>
            </w:pPr>
            <w:r>
              <w:rPr>
                <w:rFonts w:ascii="仿宋_GB2312" w:hAnsi="仿宋_GB2312" w:cs="仿宋_GB2312" w:eastAsia="仿宋_GB2312"/>
              </w:rPr>
              <w:t>供应商结合项目特点、服务内容及要求制定项目整体方案，包括但不限于：①项目需求理解；②项目整体实施思路及规划；③实施进度计划及保障方案。 完全满足采购需求，无瑕疵，计9分； 方案内容每存在1处瑕疵扣1分； 未提供或内容存在9处及以上瑕疵：0分。 备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本表所有对于瑕疵定义的内容“同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服务响应偏离表.docx</w:t>
            </w:r>
          </w:p>
          <w:p>
            <w:pPr>
              <w:pStyle w:val="null3"/>
            </w:pPr>
            <w:r>
              <w:rPr>
                <w:rFonts w:ascii="仿宋_GB2312" w:hAnsi="仿宋_GB2312" w:cs="仿宋_GB2312" w:eastAsia="仿宋_GB2312"/>
              </w:rPr>
              <w:t>1整体方案.docx</w:t>
            </w:r>
          </w:p>
        </w:tc>
      </w:tr>
      <w:tr>
        <w:tc>
          <w:tcPr>
            <w:tcW w:type="dxa" w:w="831"/>
            <w:vMerge/>
          </w:tcPr>
          <w:p/>
        </w:tc>
        <w:tc>
          <w:tcPr>
            <w:tcW w:type="dxa" w:w="1661"/>
          </w:tcPr>
          <w:p>
            <w:pPr>
              <w:pStyle w:val="null3"/>
            </w:pPr>
            <w:r>
              <w:rPr>
                <w:rFonts w:ascii="仿宋_GB2312" w:hAnsi="仿宋_GB2312" w:cs="仿宋_GB2312" w:eastAsia="仿宋_GB2312"/>
              </w:rPr>
              <w:t>导航报告技术方案</w:t>
            </w:r>
          </w:p>
        </w:tc>
        <w:tc>
          <w:tcPr>
            <w:tcW w:type="dxa" w:w="2492"/>
          </w:tcPr>
          <w:p>
            <w:pPr>
              <w:pStyle w:val="null3"/>
            </w:pPr>
            <w:r>
              <w:rPr>
                <w:rFonts w:ascii="仿宋_GB2312" w:hAnsi="仿宋_GB2312" w:cs="仿宋_GB2312" w:eastAsia="仿宋_GB2312"/>
              </w:rPr>
              <w:t>供应商针对项目要求提供导航报告技术方案，包括但不限于：①数据检索分析方案；②导航报告主体撰写方案；③报告撰写思路、编制规范方案。 完全满足采购需求，无瑕疵，计18分； 方案内容每存在1处瑕疵扣1分； 未提供或内容存在18处及以上瑕疵：0分。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2导航报告技术方案.docx</w:t>
            </w:r>
          </w:p>
        </w:tc>
      </w:tr>
      <w:tr>
        <w:tc>
          <w:tcPr>
            <w:tcW w:type="dxa" w:w="831"/>
            <w:vMerge/>
          </w:tcPr>
          <w:p/>
        </w:tc>
        <w:tc>
          <w:tcPr>
            <w:tcW w:type="dxa" w:w="1661"/>
          </w:tcPr>
          <w:p>
            <w:pPr>
              <w:pStyle w:val="null3"/>
            </w:pPr>
            <w:r>
              <w:rPr>
                <w:rFonts w:ascii="仿宋_GB2312" w:hAnsi="仿宋_GB2312" w:cs="仿宋_GB2312" w:eastAsia="仿宋_GB2312"/>
              </w:rPr>
              <w:t>导航宣传推广方案</w:t>
            </w:r>
          </w:p>
        </w:tc>
        <w:tc>
          <w:tcPr>
            <w:tcW w:type="dxa" w:w="2492"/>
          </w:tcPr>
          <w:p>
            <w:pPr>
              <w:pStyle w:val="null3"/>
            </w:pPr>
            <w:r>
              <w:rPr>
                <w:rFonts w:ascii="仿宋_GB2312" w:hAnsi="仿宋_GB2312" w:cs="仿宋_GB2312" w:eastAsia="仿宋_GB2312"/>
              </w:rPr>
              <w:t>供应商针对本项目要求，结合“未来产业专利导航”建设主题，提供导航推广宣传方案，内容包括但不限于：①整合报刊杂志；②各级媒体资源；③微信公众号、相关工作网站等进行宣传推广等。 完全满足采购需求，无瑕疵，计8分； 方案内容每存在1处瑕疵扣1分； 未提供或内容存在8处及以上瑕疵：0分。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3导航宣传推广方案.docx</w:t>
            </w:r>
          </w:p>
        </w:tc>
      </w:tr>
      <w:tr>
        <w:tc>
          <w:tcPr>
            <w:tcW w:type="dxa" w:w="831"/>
            <w:vMerge/>
          </w:tcPr>
          <w:p/>
        </w:tc>
        <w:tc>
          <w:tcPr>
            <w:tcW w:type="dxa" w:w="1661"/>
          </w:tcPr>
          <w:p>
            <w:pPr>
              <w:pStyle w:val="null3"/>
            </w:pPr>
            <w:r>
              <w:rPr>
                <w:rFonts w:ascii="仿宋_GB2312" w:hAnsi="仿宋_GB2312" w:cs="仿宋_GB2312" w:eastAsia="仿宋_GB2312"/>
              </w:rPr>
              <w:t>发布会组织方案</w:t>
            </w:r>
          </w:p>
        </w:tc>
        <w:tc>
          <w:tcPr>
            <w:tcW w:type="dxa" w:w="2492"/>
          </w:tcPr>
          <w:p>
            <w:pPr>
              <w:pStyle w:val="null3"/>
            </w:pPr>
            <w:r>
              <w:rPr>
                <w:rFonts w:ascii="仿宋_GB2312" w:hAnsi="仿宋_GB2312" w:cs="仿宋_GB2312" w:eastAsia="仿宋_GB2312"/>
              </w:rPr>
              <w:t>供应商针对本项目要求，结合“未来产业专利导航”建设主题，提供发布会组织方案，内容包括但不限于：①发布会全流程策划与执行；②会议的场地选址、会场布置；③嘉宾邀请、发布会报道、流程设计、现场主持；④后勤保障；⑤应急处理等。 完全满足采购需求，无瑕疵，计8分； 方案内容每存在1处瑕疵扣1分； 未提供或内容存在8处及以上瑕疵：0分。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4发布会组织方案.docx</w:t>
            </w:r>
          </w:p>
        </w:tc>
      </w:tr>
      <w:tr>
        <w:tc>
          <w:tcPr>
            <w:tcW w:type="dxa" w:w="831"/>
            <w:vMerge/>
          </w:tcPr>
          <w:p/>
        </w:tc>
        <w:tc>
          <w:tcPr>
            <w:tcW w:type="dxa" w:w="1661"/>
          </w:tcPr>
          <w:p>
            <w:pPr>
              <w:pStyle w:val="null3"/>
            </w:pPr>
            <w:r>
              <w:rPr>
                <w:rFonts w:ascii="仿宋_GB2312" w:hAnsi="仿宋_GB2312" w:cs="仿宋_GB2312" w:eastAsia="仿宋_GB2312"/>
              </w:rPr>
              <w:t>物料设计方案</w:t>
            </w:r>
          </w:p>
        </w:tc>
        <w:tc>
          <w:tcPr>
            <w:tcW w:type="dxa" w:w="2492"/>
          </w:tcPr>
          <w:p>
            <w:pPr>
              <w:pStyle w:val="null3"/>
            </w:pPr>
            <w:r>
              <w:rPr>
                <w:rFonts w:ascii="仿宋_GB2312" w:hAnsi="仿宋_GB2312" w:cs="仿宋_GB2312" w:eastAsia="仿宋_GB2312"/>
              </w:rPr>
              <w:t>供应商结合本项目需求提供物料设计制作方案，包括但不限于：①物料种类选择及设计方案；②印刷工艺及质量保障方案；③物料发放方案等。 完全满足采购需求，无瑕疵，计8分； 方案内容每存在1处瑕疵扣1分； 未提供或内容存在8处及以上瑕疵：0分。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5物料设计方案.docx</w:t>
            </w:r>
          </w:p>
        </w:tc>
      </w:tr>
      <w:tr>
        <w:tc>
          <w:tcPr>
            <w:tcW w:type="dxa" w:w="831"/>
            <w:vMerge/>
          </w:tcPr>
          <w:p/>
        </w:tc>
        <w:tc>
          <w:tcPr>
            <w:tcW w:type="dxa" w:w="1661"/>
          </w:tcPr>
          <w:p>
            <w:pPr>
              <w:pStyle w:val="null3"/>
            </w:pPr>
            <w:r>
              <w:rPr>
                <w:rFonts w:ascii="仿宋_GB2312" w:hAnsi="仿宋_GB2312" w:cs="仿宋_GB2312" w:eastAsia="仿宋_GB2312"/>
              </w:rPr>
              <w:t>进度计划安排及保证措施</w:t>
            </w:r>
          </w:p>
        </w:tc>
        <w:tc>
          <w:tcPr>
            <w:tcW w:type="dxa" w:w="2492"/>
          </w:tcPr>
          <w:p>
            <w:pPr>
              <w:pStyle w:val="null3"/>
            </w:pPr>
            <w:r>
              <w:rPr>
                <w:rFonts w:ascii="仿宋_GB2312" w:hAnsi="仿宋_GB2312" w:cs="仿宋_GB2312" w:eastAsia="仿宋_GB2312"/>
              </w:rPr>
              <w:t>供应商提供的项目进度计划安排及保证措施包含：①总体工作进度目标；②确保进度计划的软件硬件设备配备方案；③成果交付进度安排； 完全满足采购需求，无瑕疵，计9分； 方案内容每存在1处瑕疵扣1分； 未提供或内容存在9处及以上瑕疵：0分。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6进度计划安排及保证措施.docx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供应商根据本项目需求配备专业团队，有项目负责人、有专业的策划、宣传、服务、执行以及收尾团队。提供团队成员配备情况、岗位职责分工及拟配备团队人员的简历介绍（包括人员的年龄、学历、专业、工作经验等信息）。 完全满足采购需求，无瑕疵，计10分； 方案内容每存在1处瑕疵扣1分； 未提供或内容存在10处及以上瑕疵：0分。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7团队人员.docx</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针对本次项目实施过程中的重点、难点分析。重难点分析清晰，重点把控及难点解决思路明确，解决措施可行性强，有助于项目实施。 完全满足采购需求，无瑕疵，计3分； 方案内容每存在1处瑕疵扣1分； 未提供或内容存在3处及以上瑕疵：0分。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8重难点分析.docx</w:t>
            </w:r>
          </w:p>
        </w:tc>
      </w:tr>
      <w:tr>
        <w:tc>
          <w:tcPr>
            <w:tcW w:type="dxa" w:w="831"/>
            <w:vMerge/>
          </w:tcPr>
          <w:p/>
        </w:tc>
        <w:tc>
          <w:tcPr>
            <w:tcW w:type="dxa" w:w="1661"/>
          </w:tcPr>
          <w:p>
            <w:pPr>
              <w:pStyle w:val="null3"/>
            </w:pPr>
            <w:r>
              <w:rPr>
                <w:rFonts w:ascii="仿宋_GB2312" w:hAnsi="仿宋_GB2312" w:cs="仿宋_GB2312" w:eastAsia="仿宋_GB2312"/>
              </w:rPr>
              <w:t>配套服务承诺</w:t>
            </w:r>
          </w:p>
        </w:tc>
        <w:tc>
          <w:tcPr>
            <w:tcW w:type="dxa" w:w="2492"/>
          </w:tcPr>
          <w:p>
            <w:pPr>
              <w:pStyle w:val="null3"/>
            </w:pPr>
            <w:r>
              <w:rPr>
                <w:rFonts w:ascii="仿宋_GB2312" w:hAnsi="仿宋_GB2312" w:cs="仿宋_GB2312" w:eastAsia="仿宋_GB2312"/>
              </w:rPr>
              <w:t>供应商针对本项目采购需求提供配套服务承诺： ①提供提供7×24小时沟通对接服务，及时响应采购人的需求和问题，定期向采购人汇报项目进展情况； ②负责项目所有环节的资料整理与归档，项目结束后向采购人提交完整的项目资料包，包括工作方案、执行记录、宣传数据、成果物料等； ③项目完成后，组织成果验收工作，配合采购人完成验收报告的撰写，针对验收中提出的问题及时整改。 以上3项内容提供承诺函并加盖供应商公章，每提供1项计1分，满分3分。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9配套服务承诺.docx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合同扫描件（以合同签订日期为准），扫描件必须清晰体现签约主体和日期、项目名称及内容、合同金额等核心要素，否则不计为有效业绩。每提供1个有效业绩得2分，最高得10分。 备注：响应文件中提供合同扫描件加盖供应商公章。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10业绩.docx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供应商结合采购需求针对本项目提供合理化建议。每提供一项经磋商小组一致认定有利于项目实施的建议计1分，满分4分。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11合理化建议.docx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价格分统一采用低价优先法计算，即满足磋商文件要求且价格最低的磋商报价为评标基准价，其价格分为满分。其他供应商的价格分统一按照下列公式计算：价格分= (评标基准价／磋商报价)×报价分值 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详见附件：服务响应偏离表.docx</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详见附件：1整体方案.docx</w:t>
      </w:r>
    </w:p>
    <w:p>
      <w:pPr>
        <w:pStyle w:val="null3"/>
        <w:ind w:firstLine="960"/>
      </w:pPr>
      <w:r>
        <w:rPr>
          <w:rFonts w:ascii="仿宋_GB2312" w:hAnsi="仿宋_GB2312" w:cs="仿宋_GB2312" w:eastAsia="仿宋_GB2312"/>
        </w:rPr>
        <w:t>详见附件：2导航报告技术方案.docx</w:t>
      </w:r>
    </w:p>
    <w:p>
      <w:pPr>
        <w:pStyle w:val="null3"/>
        <w:ind w:firstLine="960"/>
      </w:pPr>
      <w:r>
        <w:rPr>
          <w:rFonts w:ascii="仿宋_GB2312" w:hAnsi="仿宋_GB2312" w:cs="仿宋_GB2312" w:eastAsia="仿宋_GB2312"/>
        </w:rPr>
        <w:t>详见附件：3导航宣传推广方案.docx</w:t>
      </w:r>
    </w:p>
    <w:p>
      <w:pPr>
        <w:pStyle w:val="null3"/>
        <w:ind w:firstLine="960"/>
      </w:pPr>
      <w:r>
        <w:rPr>
          <w:rFonts w:ascii="仿宋_GB2312" w:hAnsi="仿宋_GB2312" w:cs="仿宋_GB2312" w:eastAsia="仿宋_GB2312"/>
        </w:rPr>
        <w:t>详见附件：4发布会组织方案.docx</w:t>
      </w:r>
    </w:p>
    <w:p>
      <w:pPr>
        <w:pStyle w:val="null3"/>
        <w:ind w:firstLine="960"/>
      </w:pPr>
      <w:r>
        <w:rPr>
          <w:rFonts w:ascii="仿宋_GB2312" w:hAnsi="仿宋_GB2312" w:cs="仿宋_GB2312" w:eastAsia="仿宋_GB2312"/>
        </w:rPr>
        <w:t>详见附件：5物料设计方案.docx</w:t>
      </w:r>
    </w:p>
    <w:p>
      <w:pPr>
        <w:pStyle w:val="null3"/>
        <w:ind w:firstLine="960"/>
      </w:pPr>
      <w:r>
        <w:rPr>
          <w:rFonts w:ascii="仿宋_GB2312" w:hAnsi="仿宋_GB2312" w:cs="仿宋_GB2312" w:eastAsia="仿宋_GB2312"/>
        </w:rPr>
        <w:t>详见附件：6进度计划安排及保证措施.docx</w:t>
      </w:r>
    </w:p>
    <w:p>
      <w:pPr>
        <w:pStyle w:val="null3"/>
        <w:ind w:firstLine="960"/>
      </w:pPr>
      <w:r>
        <w:rPr>
          <w:rFonts w:ascii="仿宋_GB2312" w:hAnsi="仿宋_GB2312" w:cs="仿宋_GB2312" w:eastAsia="仿宋_GB2312"/>
        </w:rPr>
        <w:t>详见附件：7团队人员.docx</w:t>
      </w:r>
    </w:p>
    <w:p>
      <w:pPr>
        <w:pStyle w:val="null3"/>
        <w:ind w:firstLine="960"/>
      </w:pPr>
      <w:r>
        <w:rPr>
          <w:rFonts w:ascii="仿宋_GB2312" w:hAnsi="仿宋_GB2312" w:cs="仿宋_GB2312" w:eastAsia="仿宋_GB2312"/>
        </w:rPr>
        <w:t>详见附件：8重难点分析.docx</w:t>
      </w:r>
    </w:p>
    <w:p>
      <w:pPr>
        <w:pStyle w:val="null3"/>
        <w:ind w:firstLine="960"/>
      </w:pPr>
      <w:r>
        <w:rPr>
          <w:rFonts w:ascii="仿宋_GB2312" w:hAnsi="仿宋_GB2312" w:cs="仿宋_GB2312" w:eastAsia="仿宋_GB2312"/>
        </w:rPr>
        <w:t>详见附件：9配套服务承诺.docx</w:t>
      </w:r>
    </w:p>
    <w:p>
      <w:pPr>
        <w:pStyle w:val="null3"/>
        <w:ind w:firstLine="960"/>
      </w:pPr>
      <w:r>
        <w:rPr>
          <w:rFonts w:ascii="仿宋_GB2312" w:hAnsi="仿宋_GB2312" w:cs="仿宋_GB2312" w:eastAsia="仿宋_GB2312"/>
        </w:rPr>
        <w:t>详见附件：10业绩.docx</w:t>
      </w:r>
    </w:p>
    <w:p>
      <w:pPr>
        <w:pStyle w:val="null3"/>
        <w:ind w:firstLine="960"/>
      </w:pPr>
      <w:r>
        <w:rPr>
          <w:rFonts w:ascii="仿宋_GB2312" w:hAnsi="仿宋_GB2312" w:cs="仿宋_GB2312" w:eastAsia="仿宋_GB2312"/>
        </w:rPr>
        <w:t>详见附件：11合理化建议.docx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