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版本号：ZZZC2026-01020260416001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鉴定站运维服务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ZZZC2026-010</w:t>
      </w:r>
      <w:r>
        <w:br/>
      </w:r>
      <w:r>
        <w:br/>
      </w:r>
      <w:r>
        <w:br/>
      </w:r>
    </w:p>
    <w:p>
      <w:pPr>
        <w:pStyle w:val="null3"/>
        <w:jc w:val="center"/>
        <w:outlineLvl w:val="2"/>
      </w:pPr>
      <w:r>
        <w:rPr>
          <w:rFonts w:ascii="仿宋_GB2312" w:hAnsi="仿宋_GB2312" w:cs="仿宋_GB2312" w:eastAsia="仿宋_GB2312"/>
          <w:sz w:val="28"/>
          <w:b/>
        </w:rPr>
        <w:t>陕西省减灾救灾中心</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陕西省减灾救灾中心</w:t>
      </w:r>
      <w:r>
        <w:rPr>
          <w:rFonts w:ascii="仿宋_GB2312" w:hAnsi="仿宋_GB2312" w:cs="仿宋_GB2312" w:eastAsia="仿宋_GB2312"/>
        </w:rPr>
        <w:t>委托，拟对</w:t>
      </w:r>
      <w:r>
        <w:rPr>
          <w:rFonts w:ascii="仿宋_GB2312" w:hAnsi="仿宋_GB2312" w:cs="仿宋_GB2312" w:eastAsia="仿宋_GB2312"/>
        </w:rPr>
        <w:t>鉴定站运维服务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鉴定站运维服务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5月，应急管理部组织专家组对我站完成验收，同年8月投入试运行，试运行以来报考人数持续攀升。截至2025年12月31日，已受理完成34个集体申报批次，累计考核鉴定1300余人，实现了良好开局。目前，我站无新增编制，长期存在技术支撑力量薄弱、设备运维专业人员短缺、后期服务保障不畅等问题，制约了鉴定站业务发展，为保障鉴定工作规范高效开展，拟通过购买专业技术服务补充相关力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采购包1（鉴定站运维服务）：属于专门面向小微企业采购。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陕西省减灾救灾中心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开户名称：中招(陕西)项目管理有限公司</w:t>
            </w:r>
          </w:p>
          <w:p>
            <w:pPr>
              <w:pStyle w:val="null3"/>
            </w:pPr>
            <w:r>
              <w:rPr>
                <w:rFonts w:ascii="仿宋_GB2312" w:hAnsi="仿宋_GB2312" w:cs="仿宋_GB2312" w:eastAsia="仿宋_GB2312"/>
              </w:rPr>
              <w:t>开户银行：中国建设银行股份有限公司泾阳县中心街支行</w:t>
            </w:r>
          </w:p>
          <w:p>
            <w:pPr>
              <w:pStyle w:val="null3"/>
            </w:pPr>
            <w:r>
              <w:rPr>
                <w:rFonts w:ascii="仿宋_GB2312" w:hAnsi="仿宋_GB2312" w:cs="仿宋_GB2312" w:eastAsia="仿宋_GB2312"/>
              </w:rPr>
              <w:t>银行账号：6105 0163 7355 0911 1111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1.开户行名称：中招(陕西)项目管理有限公司 2.开 户 行：中国建设银行股份有限公司泾阳县中心街支行 3.账 号：6105 0163 7355 0911 1111 备注：供应商在汇款时须注明项目编号+项目简称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陕西省减灾救灾中心</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陕西省减灾救灾中心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陕西省减灾救灾中心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1.由采购人进行验收，合格后签发《验收单》。 2.如验收不合格，供应商必须在接到通知后7个日历日内完成整改并确保项目二次验收通过。如接到通知后7个日历日内验收仍不合格，采购人可按照合同总金额的30%提出索赔。</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5月，应急管理部组织专家组对我站完成验收，同年8月投入试运行，试运行以来报考人数持续攀升。截至2025年12月31日，已受理完成34个集体申报批次，累计考核鉴定1300余人，实现了良好开局。目前，我站无新增编制，长期存在技术支撑力量薄弱、设备运维专业人员短缺、后期服务保障不畅等问题，制约了鉴定站业务发展，为保障鉴定工作规范高效开展，拟通过购买专业技术服务补充相关力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设备运维服务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1.提供鉴定设备常态化巡检、维护保养及故障紧急排查，确保设备完好满足鉴定需求；</w:t>
            </w:r>
          </w:p>
          <w:p>
            <w:pPr>
              <w:pStyle w:val="null3"/>
            </w:pPr>
            <w:r>
              <w:rPr>
                <w:rFonts w:ascii="仿宋_GB2312" w:hAnsi="仿宋_GB2312" w:cs="仿宋_GB2312" w:eastAsia="仿宋_GB2312"/>
              </w:rPr>
              <w:t>2.负责鉴定系统的升级优化、漏洞修复及网络安全防护，保障系统稳定运行，提供鉴定流程优化建议、技术标准落地指导及现场督导检查，提升鉴定规范性；</w:t>
            </w:r>
          </w:p>
          <w:p>
            <w:pPr>
              <w:pStyle w:val="null3"/>
            </w:pPr>
            <w:r>
              <w:rPr>
                <w:rFonts w:ascii="仿宋_GB2312" w:hAnsi="仿宋_GB2312" w:cs="仿宋_GB2312" w:eastAsia="仿宋_GB2312"/>
              </w:rPr>
              <w:t>3.负责鉴定数据的整理、加密备份及归档管理，确保数据准确、可追溯；</w:t>
            </w:r>
          </w:p>
          <w:p>
            <w:pPr>
              <w:pStyle w:val="null3"/>
            </w:pPr>
            <w:r>
              <w:rPr>
                <w:rFonts w:ascii="仿宋_GB2312" w:hAnsi="仿宋_GB2312" w:cs="仿宋_GB2312" w:eastAsia="仿宋_GB2312"/>
              </w:rPr>
              <w:t>4.提供鉴定站安保、保洁绿化等服务。</w:t>
            </w:r>
          </w:p>
          <w:p>
            <w:pPr>
              <w:pStyle w:val="null3"/>
            </w:pPr>
            <w:r>
              <w:rPr>
                <w:rFonts w:ascii="仿宋_GB2312" w:hAnsi="仿宋_GB2312" w:cs="仿宋_GB2312" w:eastAsia="仿宋_GB2312"/>
              </w:rPr>
              <w:t>二、服务方式</w:t>
            </w:r>
          </w:p>
          <w:p>
            <w:pPr>
              <w:pStyle w:val="null3"/>
            </w:pPr>
            <w:r>
              <w:rPr>
                <w:rFonts w:ascii="仿宋_GB2312" w:hAnsi="仿宋_GB2312" w:cs="仿宋_GB2312" w:eastAsia="仿宋_GB2312"/>
              </w:rPr>
              <w:t>1.服务单位应根据我站鉴定工作实际需求，组建专业技术团队提供涵盖鉴定准备、实施及收尾的全过程技术保障，派驻3名具备相应职业资格的专业人员常驻我站确保技术支撑响应及时、服务到位。</w:t>
            </w:r>
          </w:p>
          <w:p>
            <w:pPr>
              <w:pStyle w:val="null3"/>
            </w:pPr>
            <w:r>
              <w:rPr>
                <w:rFonts w:ascii="仿宋_GB2312" w:hAnsi="仿宋_GB2312" w:cs="仿宋_GB2312" w:eastAsia="仿宋_GB2312"/>
              </w:rPr>
              <w:t>2.对全年技术服务工作开展全面评估与总结，形成规范完整的年度技术服务工作报告并归档，作为服务验收依据。</w:t>
            </w:r>
          </w:p>
          <w:p>
            <w:pPr>
              <w:pStyle w:val="null3"/>
            </w:pPr>
            <w:r>
              <w:rPr>
                <w:rFonts w:ascii="仿宋_GB2312" w:hAnsi="仿宋_GB2312" w:cs="仿宋_GB2312" w:eastAsia="仿宋_GB2312"/>
              </w:rPr>
              <w:t>3.服务单位需聘请专职保安2人、专职保洁1人，保障鉴定站安全及内部考评场所卫生整洁。</w:t>
            </w:r>
          </w:p>
          <w:p>
            <w:pPr>
              <w:pStyle w:val="null3"/>
            </w:pPr>
            <w:r>
              <w:rPr>
                <w:rFonts w:ascii="仿宋_GB2312" w:hAnsi="仿宋_GB2312" w:cs="仿宋_GB2312" w:eastAsia="仿宋_GB2312"/>
              </w:rPr>
              <w:t>4.服务单位需提供两台饮水机保证鉴定站工作人员及考试学员正常饮用水。</w:t>
            </w:r>
          </w:p>
          <w:p>
            <w:pPr>
              <w:pStyle w:val="null3"/>
            </w:pPr>
            <w:r>
              <w:rPr>
                <w:rFonts w:ascii="仿宋_GB2312" w:hAnsi="仿宋_GB2312" w:cs="仿宋_GB2312" w:eastAsia="仿宋_GB2312"/>
              </w:rPr>
              <w:t>5.根据鉴定站实际需求，为鉴定站提供各类绿植，并负责日常养护。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陕西省减灾救灾中心。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1.由采购人进行验收，合格后签发《验收单》。 2.如验收不合格，供应商必须在接到通知后7个日历日内完成整改并确保项目二次验收通过。如接到通知后7个日历日内验收仍不合格，采购人可按照合同总金额的30%提出索赔。</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合同签订后7个工作日内，乙方开具合同金额50%发票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项目进展顺利，乙方在2026年12月20日前开具剩余发票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方案或服务方案质量不能满足采购技术要求，采购人有权终止合同，并对成交单位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三副纸质竞争性磋商响应文件，纸质响应文件采用书籍（胶装）方式装订成册，须编制目录、页码和书脊，在书脊处标注项目名称和项目编号，与电子响应文件一致的签字、盖章的完整版本。2.采购人应按照竞争性磋商文件和成交人响应文件，在成交通知书发出之日起25日内签订合同。3.本项目采购标的对应的中小企业划分标准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供应商需在项目电子化交易系统中按要求上传相应证明文件并进行电子签章。此项审查内容与特殊资格条件中的“财务状况报告”为同一审查内容。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 号）相关规定，政府采购评审中出现下列情形之一的，评审委员会应当启动异常低价投标（响应）审查程序：1.1投标（响应）报价低于全部通过符合性审查供应商投标（响应）报价平均值50%的，即投标（响应）报价&lt;全部通过符合性审查供应商投标（响应）报价平均值×50%；1.2投标（响应）报价低于通过符合性审查的次低报价供应商投标（响应）报价50%的，即投标（响应）报价&lt;通过符合性审查的次低报价供应商投标（响应）报价×50%；1.3投标（响应）报价低于采购项目最高限价45%的，即投标（响应）报价&lt;采购项目最高限价×45%；1.4评审委员会基于专业判断，认为供应商报价过低，有可能影响产品质量或者不能诚信履约的其他情形。 2.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供应商名称应与获取竞争性磋商文件的单位名称一致。</w:t>
            </w:r>
          </w:p>
        </w:tc>
        <w:tc>
          <w:tcPr>
            <w:tcW w:type="dxa" w:w="1661"/>
          </w:tcPr>
          <w:p>
            <w:pPr>
              <w:pStyle w:val="null3"/>
            </w:pPr>
            <w:r>
              <w:rPr>
                <w:rFonts w:ascii="仿宋_GB2312" w:hAnsi="仿宋_GB2312" w:cs="仿宋_GB2312" w:eastAsia="仿宋_GB2312"/>
              </w:rPr>
              <w:t>服务条款响应偏离表 响应文件封面 资格证明文件 磋商保证金 法定代表人授权委托书 中小企业声明函 标的清单 拒绝政府采购领域商业贿赂承诺书 响应函 商务条款响应偏离表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响应文件格式编制</w:t>
            </w:r>
          </w:p>
        </w:tc>
        <w:tc>
          <w:tcPr>
            <w:tcW w:type="dxa" w:w="3322"/>
          </w:tcPr>
          <w:p>
            <w:pPr>
              <w:pStyle w:val="null3"/>
            </w:pPr>
            <w:r>
              <w:rPr>
                <w:rFonts w:ascii="仿宋_GB2312" w:hAnsi="仿宋_GB2312" w:cs="仿宋_GB2312" w:eastAsia="仿宋_GB2312"/>
              </w:rPr>
              <w:t>除明确允许供应商可以自行编写的外，竞争性磋商响应文件应按照竞争性磋商文件给定的格式编制。</w:t>
            </w:r>
          </w:p>
        </w:tc>
        <w:tc>
          <w:tcPr>
            <w:tcW w:type="dxa" w:w="1661"/>
          </w:tcPr>
          <w:p>
            <w:pPr>
              <w:pStyle w:val="null3"/>
            </w:pPr>
            <w:r>
              <w:rPr>
                <w:rFonts w:ascii="仿宋_GB2312" w:hAnsi="仿宋_GB2312" w:cs="仿宋_GB2312" w:eastAsia="仿宋_GB2312"/>
              </w:rPr>
              <w:t>服务条款响应偏离表 资格证明文件 磋商保证金 法定代表人授权委托书 中小企业声明函 承诺书 标的清单 拒绝政府采购领域商业贿赂承诺书 响应函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竞争性磋商响应文件应按照竞争性磋商文件的要求盖章签字。</w:t>
            </w:r>
          </w:p>
        </w:tc>
        <w:tc>
          <w:tcPr>
            <w:tcW w:type="dxa" w:w="1661"/>
          </w:tcPr>
          <w:p>
            <w:pPr>
              <w:pStyle w:val="null3"/>
            </w:pPr>
            <w:r>
              <w:rPr>
                <w:rFonts w:ascii="仿宋_GB2312" w:hAnsi="仿宋_GB2312" w:cs="仿宋_GB2312" w:eastAsia="仿宋_GB2312"/>
              </w:rPr>
              <w:t>响应文件封面 服务条款响应偏离表 资格证明文件 法定代表人授权委托书 中小企业声明函 承诺书 标的清单 拒绝政府采购领域商业贿赂承诺书 响应函 商务条款响应偏离表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对竞争性磋商文件商务要求是否作出明确且实质性响应。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对竞争性磋商文件服务内容和要求是否作出明确响应。</w:t>
            </w:r>
          </w:p>
        </w:tc>
        <w:tc>
          <w:tcPr>
            <w:tcW w:type="dxa" w:w="1661"/>
          </w:tcPr>
          <w:p>
            <w:pPr>
              <w:pStyle w:val="null3"/>
            </w:pPr>
            <w:r>
              <w:rPr>
                <w:rFonts w:ascii="仿宋_GB2312" w:hAnsi="仿宋_GB2312" w:cs="仿宋_GB2312" w:eastAsia="仿宋_GB2312"/>
              </w:rPr>
              <w:t>服务条款响应偏离表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磋商保证金交纳凭证或担保函；（磋商保证交纳金凭证为银行凭证，担保函为财政部门认可的政府采购信用担保机构出具）。</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竞争性磋商响应文件未含有采购人不能接受的附加条件。</w:t>
            </w:r>
          </w:p>
        </w:tc>
        <w:tc>
          <w:tcPr>
            <w:tcW w:type="dxa" w:w="1661"/>
          </w:tcPr>
          <w:p>
            <w:pPr>
              <w:pStyle w:val="null3"/>
            </w:pPr>
            <w:r>
              <w:rPr>
                <w:rFonts w:ascii="仿宋_GB2312" w:hAnsi="仿宋_GB2312" w:cs="仿宋_GB2312" w:eastAsia="仿宋_GB2312"/>
              </w:rPr>
              <w:t>供应商认为有必要说明的事宜 服务方案</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供应商认为有必要说明的事宜</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鉴定设备巡检维保与故障应急处置方案优劣顺序推荐。评审得分且最后报价且鉴定设备巡检维保与故障应急处置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鉴定设备巡检维保与故障应急处置方案</w:t>
            </w:r>
          </w:p>
        </w:tc>
        <w:tc>
          <w:tcPr>
            <w:tcW w:type="dxa" w:w="2492"/>
          </w:tcPr>
          <w:p>
            <w:pPr>
              <w:pStyle w:val="null3"/>
            </w:pPr>
            <w:r>
              <w:rPr>
                <w:rFonts w:ascii="仿宋_GB2312" w:hAnsi="仿宋_GB2312" w:cs="仿宋_GB2312" w:eastAsia="仿宋_GB2312"/>
              </w:rPr>
              <w:t>供应商针对本项目提供详细方案，包括但不限于：1.常态化巡检流程；2.分级保养标准；3.故障紧急排查响应机制；4.备件储备与更换流程；5.设备完好率保障措施。 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鉴定数据管理与备份归档方案</w:t>
            </w:r>
          </w:p>
        </w:tc>
        <w:tc>
          <w:tcPr>
            <w:tcW w:type="dxa" w:w="2492"/>
          </w:tcPr>
          <w:p>
            <w:pPr>
              <w:pStyle w:val="null3"/>
            </w:pPr>
            <w:r>
              <w:rPr>
                <w:rFonts w:ascii="仿宋_GB2312" w:hAnsi="仿宋_GB2312" w:cs="仿宋_GB2312" w:eastAsia="仿宋_GB2312"/>
              </w:rPr>
              <w:t>供应商针对本项目提供详细方案，包括但不限于：1.数据整理规范；2.加密存储与备份机制；3.定期归档流程；4.数据追溯与安全管控；5. 数据故障恢复预案。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安保、保洁绿化服务方案</w:t>
            </w:r>
          </w:p>
        </w:tc>
        <w:tc>
          <w:tcPr>
            <w:tcW w:type="dxa" w:w="2492"/>
          </w:tcPr>
          <w:p>
            <w:pPr>
              <w:pStyle w:val="null3"/>
            </w:pPr>
            <w:r>
              <w:rPr>
                <w:rFonts w:ascii="仿宋_GB2312" w:hAnsi="仿宋_GB2312" w:cs="仿宋_GB2312" w:eastAsia="仿宋_GB2312"/>
              </w:rPr>
              <w:t>供应商针对本项目提供详细方案，包括但不限于：1.日常安保；2.日常保洁；3.日常绿化养护。满分9分。每有一项缺项扣3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常驻技术团队配置方案</w:t>
            </w:r>
          </w:p>
        </w:tc>
        <w:tc>
          <w:tcPr>
            <w:tcW w:type="dxa" w:w="2492"/>
          </w:tcPr>
          <w:p>
            <w:pPr>
              <w:pStyle w:val="null3"/>
            </w:pPr>
            <w:r>
              <w:rPr>
                <w:rFonts w:ascii="仿宋_GB2312" w:hAnsi="仿宋_GB2312" w:cs="仿宋_GB2312" w:eastAsia="仿宋_GB2312"/>
              </w:rPr>
              <w:t>供应商针对本项目提供详细方案，包括但不限于：1.常驻专业人员名单及岗位职责分工；2.职业资格与技术能力说明；3.驻场值守与响应机制；4.人员替补保障。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年度服务评估与报告编制方案</w:t>
            </w:r>
          </w:p>
        </w:tc>
        <w:tc>
          <w:tcPr>
            <w:tcW w:type="dxa" w:w="2492"/>
          </w:tcPr>
          <w:p>
            <w:pPr>
              <w:pStyle w:val="null3"/>
            </w:pPr>
            <w:r>
              <w:rPr>
                <w:rFonts w:ascii="仿宋_GB2312" w:hAnsi="仿宋_GB2312" w:cs="仿宋_GB2312" w:eastAsia="仿宋_GB2312"/>
              </w:rPr>
              <w:t>供应商针对本项目提供详细方案，包括但不限于：1.服务全流程评估指标；2.年度总结报告框架；3.资料归档规范；4.验收资料准备。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工作管理制度</w:t>
            </w:r>
          </w:p>
        </w:tc>
        <w:tc>
          <w:tcPr>
            <w:tcW w:type="dxa" w:w="2492"/>
          </w:tcPr>
          <w:p>
            <w:pPr>
              <w:pStyle w:val="null3"/>
            </w:pPr>
            <w:r>
              <w:rPr>
                <w:rFonts w:ascii="仿宋_GB2312" w:hAnsi="仿宋_GB2312" w:cs="仿宋_GB2312" w:eastAsia="仿宋_GB2312"/>
              </w:rPr>
              <w:t>供应商针对本项目提供相应的管理规章制度，包括但不限于：1.各类工作处理操作流程制度；2.设备维护保养管理制度；3.维修管理制度。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提供相应的人员配备计划，包括但不限于：1.拟投入的服务团队人员结构；2.人员分工及职责；3.人员工作经验证明材料。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应急保障能力</w:t>
            </w:r>
          </w:p>
        </w:tc>
        <w:tc>
          <w:tcPr>
            <w:tcW w:type="dxa" w:w="2492"/>
          </w:tcPr>
          <w:p>
            <w:pPr>
              <w:pStyle w:val="null3"/>
            </w:pPr>
            <w:r>
              <w:rPr>
                <w:rFonts w:ascii="仿宋_GB2312" w:hAnsi="仿宋_GB2312" w:cs="仿宋_GB2312" w:eastAsia="仿宋_GB2312"/>
              </w:rPr>
              <w:t>供应商针对本项目提供详细应急预案，包括但不限于：1.设备故障应急；2.系统瘫痪应急；3.安保、保洁突发处置。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服务保障与质量承诺</w:t>
            </w:r>
          </w:p>
        </w:tc>
        <w:tc>
          <w:tcPr>
            <w:tcW w:type="dxa" w:w="2492"/>
          </w:tcPr>
          <w:p>
            <w:pPr>
              <w:pStyle w:val="null3"/>
            </w:pPr>
            <w:r>
              <w:rPr>
                <w:rFonts w:ascii="仿宋_GB2312" w:hAnsi="仿宋_GB2312" w:cs="仿宋_GB2312" w:eastAsia="仿宋_GB2312"/>
              </w:rPr>
              <w:t>供应商针对本项目提供详细措施，包括但不限于：1.服务质量管控；2.安全作业保障；3.内部自检整改；4.响应时效承诺；5.满意度保障承诺。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供应商针对本项目提供合理化建议。 1.建议逻辑层次清晰、针对性强的，得4分; 2.建议仅有框架，与项目需求不匹配的，得2分；3.未提供不得分。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供应商提供2023年1月1日至今类似业绩（运行维护类），每提供1个得2分，满分8分。需提供合同完整盖章扫描件或中标通知书复印件，否则不计分。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磋商文件要求且磋商价格最低的磋商报价为评标基准价，其价格分为满分。其他供应商的价格分统一按照下列公式计算： 磋商报价得分=(磋商基准价／磋商报价)×价格权值×100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详见附件：服务条款响应偏离表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