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9D71F">
      <w:pPr>
        <w:pageBreakBefore w:val="0"/>
        <w:shd w:val="clear" w:color="auto" w:fill="auto"/>
        <w:kinsoku/>
        <w:topLinePunct w:val="0"/>
        <w:bidi w:val="0"/>
        <w:spacing w:beforeAutospacing="0" w:afterAutospacing="0" w:line="480" w:lineRule="exact"/>
        <w:jc w:val="center"/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磋商保证金</w:t>
      </w:r>
    </w:p>
    <w:p w14:paraId="0C8BDA33">
      <w:pPr>
        <w:jc w:val="center"/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</w:pPr>
    </w:p>
    <w:p w14:paraId="4D24D3DD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highlight w:val="none"/>
          <w:lang w:val="en-US" w:eastAsia="zh-CN"/>
        </w:rPr>
        <w:t>磋商保证金交纳凭证或担保函；（磋商保证交纳金凭证为银行凭证，担保函为财政部门认可的政府采购信用担保机构出具）。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B10545"/>
    <w:rsid w:val="72B1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2026-04-14T06:54:00Z</dcterms:created>
  <dc:creator>叶染</dc:creator>
  <cp:lastModifiedBy>叶染</cp:lastModifiedBy>
  <dcterms:modified xsi:type="dcterms:W3CDTF">2026-04-14T06:55:17Z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AA96698B466F428C940E1A515614EF15_11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