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版本号：LHZBZC2025150S20260416001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便携式高性能地质透视仪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LHZBZC2025150S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便携式高性能地质透视仪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LHZBZC2025150S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便携式高性能地质透视仪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本次采购便携式高性能地质透视仪，主要用于探测大坝坝体结构隐患、定位城市地下管线以及评估地质灾害影响等检测，助力水库大坝性态感知方法研究与结构安全性态评估工作。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产品授权：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p>
      <w:pPr>
        <w:pStyle w:val="null3"/>
      </w:pPr>
      <w:r>
        <w:rPr>
          <w:rFonts w:ascii="仿宋_GB2312" w:hAnsi="仿宋_GB2312" w:cs="仿宋_GB2312" w:eastAsia="仿宋_GB2312"/>
        </w:rPr>
        <w:t>11、本项目不接受联合体投标，不允许分包：供应商应提供《非联合体不分包投标声明》，视为独立投标，不分包。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高禧、黄沛、宋妍、陈新鹏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如有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联系人：高禧、黄沛、宋妍、陈新鹏</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本次采购便携式高性能地质透视仪，主要用于探测大坝坝体结构隐患、定位城市地下管线以及评估地质灾害影响等检测，助力水库大坝性态感知方法研究与结构安全性态评估工作。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便携式高性能地质透视仪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标的名称：便携式高性能地质透视仪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设备技术参数：</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支持</w:t>
            </w:r>
            <w:r>
              <w:rPr>
                <w:rFonts w:ascii="仿宋_GB2312" w:hAnsi="仿宋_GB2312" w:cs="仿宋_GB2312" w:eastAsia="仿宋_GB2312"/>
                <w:sz w:val="20"/>
              </w:rPr>
              <w:t>2通道实时数据采集主机无需外接笔记本电脑，内置蜂鸣器，具有声光报警功能；</w:t>
            </w:r>
          </w:p>
          <w:p>
            <w:pPr>
              <w:pStyle w:val="null3"/>
              <w:jc w:val="both"/>
            </w:pPr>
            <w:r>
              <w:rPr>
                <w:rFonts w:ascii="仿宋_GB2312" w:hAnsi="仿宋_GB2312" w:cs="仿宋_GB2312" w:eastAsia="仿宋_GB2312"/>
                <w:sz w:val="20"/>
              </w:rPr>
              <w:t>1.2采用特征峰匹配算法进行跟踪识别，常规测量无需放射源；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1.3工作方式：接收机与发射机可分体也可一体化（根据工作方式可选）；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1.4 最大窗口：≥19μs；</w:t>
            </w:r>
          </w:p>
          <w:p>
            <w:pPr>
              <w:pStyle w:val="null3"/>
              <w:jc w:val="both"/>
            </w:pPr>
            <w:r>
              <w:rPr>
                <w:rFonts w:ascii="仿宋_GB2312" w:hAnsi="仿宋_GB2312" w:cs="仿宋_GB2312" w:eastAsia="仿宋_GB2312"/>
                <w:sz w:val="20"/>
              </w:rPr>
              <w:t>1.5扫描样点数：256/512/1024/2048/4096/8192/16384</w:t>
            </w:r>
            <w:r>
              <w:rPr>
                <w:rFonts w:ascii="仿宋_GB2312" w:hAnsi="仿宋_GB2312" w:cs="仿宋_GB2312" w:eastAsia="仿宋_GB2312"/>
                <w:sz w:val="20"/>
              </w:rPr>
              <w:t>；</w:t>
            </w:r>
            <w:r>
              <w:rPr>
                <w:rFonts w:ascii="仿宋_GB2312" w:hAnsi="仿宋_GB2312" w:cs="仿宋_GB2312" w:eastAsia="仿宋_GB2312"/>
                <w:sz w:val="20"/>
              </w:rPr>
              <w:t>扫描速率</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400线/秒；</w:t>
            </w:r>
          </w:p>
          <w:p>
            <w:pPr>
              <w:pStyle w:val="null3"/>
              <w:jc w:val="both"/>
            </w:pPr>
            <w:r>
              <w:rPr>
                <w:rFonts w:ascii="仿宋_GB2312" w:hAnsi="仿宋_GB2312" w:cs="仿宋_GB2312" w:eastAsia="仿宋_GB2312"/>
                <w:sz w:val="20"/>
              </w:rPr>
              <w:t>1.6数据存储：≥32GB内存并支持U盘存储；</w:t>
            </w:r>
          </w:p>
          <w:p>
            <w:pPr>
              <w:pStyle w:val="null3"/>
              <w:jc w:val="both"/>
            </w:pPr>
            <w:r>
              <w:rPr>
                <w:rFonts w:ascii="仿宋_GB2312" w:hAnsi="仿宋_GB2312" w:cs="仿宋_GB2312" w:eastAsia="仿宋_GB2312"/>
                <w:sz w:val="20"/>
              </w:rPr>
              <w:t>1.7电源：主机可接220V交流电；</w:t>
            </w:r>
          </w:p>
          <w:p>
            <w:pPr>
              <w:pStyle w:val="null3"/>
              <w:jc w:val="both"/>
            </w:pPr>
            <w:r>
              <w:rPr>
                <w:rFonts w:ascii="仿宋_GB2312" w:hAnsi="仿宋_GB2312" w:cs="仿宋_GB2312" w:eastAsia="仿宋_GB2312"/>
                <w:sz w:val="20"/>
              </w:rPr>
              <w:t>1.8电池容量：≥9000</w:t>
            </w:r>
            <w:r>
              <w:rPr>
                <w:rFonts w:ascii="仿宋_GB2312" w:hAnsi="仿宋_GB2312" w:cs="仿宋_GB2312" w:eastAsia="仿宋_GB2312"/>
                <w:sz w:val="20"/>
              </w:rPr>
              <w:t xml:space="preserve"> </w:t>
            </w:r>
            <w:r>
              <w:rPr>
                <w:rFonts w:ascii="仿宋_GB2312" w:hAnsi="仿宋_GB2312" w:cs="仿宋_GB2312" w:eastAsia="仿宋_GB2312"/>
                <w:sz w:val="20"/>
              </w:rPr>
              <w:t>mAh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1.9传输线缆：≥13针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1.10主机尺寸：≤355mmx360mmx70mm；</w:t>
            </w:r>
          </w:p>
          <w:p>
            <w:pPr>
              <w:pStyle w:val="null3"/>
              <w:jc w:val="both"/>
            </w:pPr>
            <w:r>
              <w:rPr>
                <w:rFonts w:ascii="仿宋_GB2312" w:hAnsi="仿宋_GB2312" w:cs="仿宋_GB2312" w:eastAsia="仿宋_GB2312"/>
                <w:sz w:val="20"/>
              </w:rPr>
              <w:t>1.11主机接口：至少包含HDMI、网口、CF卡等；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1.12天线连接：双通道可同时分别连接模拟天线和数字天线；</w:t>
            </w:r>
          </w:p>
          <w:p>
            <w:pPr>
              <w:pStyle w:val="null3"/>
              <w:jc w:val="both"/>
            </w:pPr>
            <w:r>
              <w:rPr>
                <w:rFonts w:ascii="仿宋_GB2312" w:hAnsi="仿宋_GB2312" w:cs="仿宋_GB2312" w:eastAsia="仿宋_GB2312"/>
                <w:sz w:val="20"/>
              </w:rPr>
              <w:t>1.13天线</w:t>
            </w:r>
            <w:r>
              <w:rPr>
                <w:rFonts w:ascii="仿宋_GB2312" w:hAnsi="仿宋_GB2312" w:cs="仿宋_GB2312" w:eastAsia="仿宋_GB2312"/>
                <w:sz w:val="20"/>
              </w:rPr>
              <w:t>频率稳定性：</w:t>
            </w:r>
            <w:r>
              <w:rPr>
                <w:rFonts w:ascii="仿宋_GB2312" w:hAnsi="仿宋_GB2312" w:cs="仿宋_GB2312" w:eastAsia="仿宋_GB2312"/>
                <w:sz w:val="20"/>
              </w:rPr>
              <w:t>≥</w:t>
            </w:r>
            <w:r>
              <w:rPr>
                <w:rFonts w:ascii="仿宋_GB2312" w:hAnsi="仿宋_GB2312" w:cs="仿宋_GB2312" w:eastAsia="仿宋_GB2312"/>
                <w:sz w:val="20"/>
              </w:rPr>
              <w:t>99%；</w:t>
            </w:r>
          </w:p>
          <w:p>
            <w:pPr>
              <w:pStyle w:val="null3"/>
              <w:jc w:val="both"/>
            </w:pPr>
            <w:r>
              <w:rPr>
                <w:rFonts w:ascii="仿宋_GB2312" w:hAnsi="仿宋_GB2312" w:cs="仿宋_GB2312" w:eastAsia="仿宋_GB2312"/>
                <w:sz w:val="20"/>
              </w:rPr>
              <w:t>1.14天线工作温度：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70</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1.15</w:t>
            </w:r>
            <w:r>
              <w:rPr>
                <w:rFonts w:ascii="仿宋_GB2312" w:hAnsi="仿宋_GB2312" w:cs="仿宋_GB2312" w:eastAsia="仿宋_GB2312"/>
                <w:sz w:val="20"/>
              </w:rPr>
              <w:t>主机适配井中天线可选频率：</w:t>
            </w:r>
            <w:r>
              <w:rPr>
                <w:rFonts w:ascii="仿宋_GB2312" w:hAnsi="仿宋_GB2312" w:cs="仿宋_GB2312" w:eastAsia="仿宋_GB2312"/>
                <w:sz w:val="20"/>
              </w:rPr>
              <w:t>150MHz和330MHz井中天线；</w:t>
            </w:r>
          </w:p>
          <w:p>
            <w:pPr>
              <w:pStyle w:val="null3"/>
              <w:jc w:val="both"/>
            </w:pPr>
            <w:r>
              <w:rPr>
                <w:rFonts w:ascii="仿宋_GB2312" w:hAnsi="仿宋_GB2312" w:cs="仿宋_GB2312" w:eastAsia="仿宋_GB2312"/>
                <w:sz w:val="20"/>
              </w:rPr>
              <w:t>1.16主机适配低频天线可选频率：15MHz、25MHz、45MHz、75 MHz天线等；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1.17主机适配中频天线可选频率：150MHz、250MHz、500 MHz、850MHz、</w:t>
            </w:r>
            <w:r>
              <w:rPr>
                <w:rFonts w:ascii="仿宋_GB2312" w:hAnsi="仿宋_GB2312" w:cs="仿宋_GB2312" w:eastAsia="仿宋_GB2312"/>
                <w:sz w:val="20"/>
              </w:rPr>
              <w:t>90</w:t>
            </w:r>
            <w:r>
              <w:rPr>
                <w:rFonts w:ascii="仿宋_GB2312" w:hAnsi="仿宋_GB2312" w:cs="仿宋_GB2312" w:eastAsia="仿宋_GB2312"/>
                <w:sz w:val="20"/>
              </w:rPr>
              <w:t>0MHz天线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1.18主机适配高频天线可选频率：1</w:t>
            </w:r>
            <w:r>
              <w:rPr>
                <w:rFonts w:ascii="仿宋_GB2312" w:hAnsi="仿宋_GB2312" w:cs="仿宋_GB2312" w:eastAsia="仿宋_GB2312"/>
                <w:sz w:val="20"/>
              </w:rPr>
              <w:t>.7GHz、2.3GHz、3.5 GHz、4.0GHz地面耦合天线，和1.7G空气耦合探头。</w:t>
            </w:r>
          </w:p>
          <w:p>
            <w:pPr>
              <w:pStyle w:val="null3"/>
              <w:jc w:val="both"/>
            </w:pPr>
            <w:r>
              <w:rPr>
                <w:rFonts w:ascii="仿宋_GB2312" w:hAnsi="仿宋_GB2312" w:cs="仿宋_GB2312" w:eastAsia="仿宋_GB2312"/>
                <w:sz w:val="20"/>
              </w:rPr>
              <w:t>信息展示器</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10.4</w:t>
            </w:r>
            <w:r>
              <w:rPr>
                <w:rFonts w:ascii="仿宋_GB2312" w:hAnsi="仿宋_GB2312" w:cs="仿宋_GB2312" w:eastAsia="仿宋_GB2312"/>
                <w:sz w:val="20"/>
              </w:rPr>
              <w:t>英寸</w:t>
            </w:r>
            <w:r>
              <w:rPr>
                <w:rFonts w:ascii="仿宋_GB2312" w:hAnsi="仿宋_GB2312" w:cs="仿宋_GB2312" w:eastAsia="仿宋_GB2312"/>
                <w:sz w:val="20"/>
              </w:rPr>
              <w:t>信息展示器</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 xml:space="preserve">1024 × 768 </w:t>
            </w:r>
            <w:r>
              <w:rPr>
                <w:rFonts w:ascii="仿宋_GB2312" w:hAnsi="仿宋_GB2312" w:cs="仿宋_GB2312" w:eastAsia="仿宋_GB2312"/>
                <w:sz w:val="20"/>
              </w:rPr>
              <w:t>，彩色支持</w:t>
            </w:r>
            <w:r>
              <w:rPr>
                <w:rFonts w:ascii="仿宋_GB2312" w:hAnsi="仿宋_GB2312" w:cs="仿宋_GB2312" w:eastAsia="仿宋_GB2312"/>
                <w:sz w:val="20"/>
              </w:rPr>
              <w:t>32</w:t>
            </w:r>
            <w:r>
              <w:rPr>
                <w:rFonts w:ascii="仿宋_GB2312" w:hAnsi="仿宋_GB2312" w:cs="仿宋_GB2312" w:eastAsia="仿宋_GB2312"/>
                <w:sz w:val="20"/>
              </w:rPr>
              <w:t>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通道：支持记录单根天线或单根双频数字天线数据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GPS</w:t>
            </w:r>
            <w:r>
              <w:rPr>
                <w:rFonts w:ascii="仿宋_GB2312" w:hAnsi="仿宋_GB2312" w:cs="仿宋_GB2312" w:eastAsia="仿宋_GB2312"/>
                <w:sz w:val="20"/>
              </w:rPr>
              <w:t>：内置</w:t>
            </w:r>
            <w:r>
              <w:rPr>
                <w:rFonts w:ascii="仿宋_GB2312" w:hAnsi="仿宋_GB2312" w:cs="仿宋_GB2312" w:eastAsia="仿宋_GB2312"/>
                <w:sz w:val="20"/>
              </w:rPr>
              <w:t>GPS</w:t>
            </w:r>
            <w:r>
              <w:rPr>
                <w:rFonts w:ascii="仿宋_GB2312" w:hAnsi="仿宋_GB2312" w:cs="仿宋_GB2312" w:eastAsia="仿宋_GB2312"/>
                <w:sz w:val="20"/>
              </w:rPr>
              <w:t>记录器（需外接天线）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发射率：</w:t>
            </w:r>
            <w:r>
              <w:rPr>
                <w:rFonts w:ascii="仿宋_GB2312" w:hAnsi="仿宋_GB2312" w:cs="仿宋_GB2312" w:eastAsia="仿宋_GB2312"/>
                <w:sz w:val="20"/>
              </w:rPr>
              <w:t>≤</w:t>
            </w:r>
            <w:r>
              <w:rPr>
                <w:rFonts w:ascii="仿宋_GB2312" w:hAnsi="仿宋_GB2312" w:cs="仿宋_GB2312" w:eastAsia="仿宋_GB2312"/>
                <w:sz w:val="20"/>
              </w:rPr>
              <w:t>800 KHz;</w:t>
            </w:r>
          </w:p>
          <w:p>
            <w:pPr>
              <w:pStyle w:val="null3"/>
              <w:jc w:val="both"/>
            </w:pPr>
            <w:r>
              <w:rPr>
                <w:rFonts w:ascii="仿宋_GB2312" w:hAnsi="仿宋_GB2312" w:cs="仿宋_GB2312" w:eastAsia="仿宋_GB2312"/>
                <w:sz w:val="20"/>
              </w:rPr>
              <w:t>2.天线要求</w:t>
            </w:r>
            <w:r>
              <w:rPr>
                <w:rFonts w:ascii="仿宋_GB2312" w:hAnsi="仿宋_GB2312" w:cs="仿宋_GB2312" w:eastAsia="仿宋_GB2312"/>
                <w:sz w:val="20"/>
                <w:b/>
              </w:rPr>
              <w:t>（频率：</w:t>
            </w:r>
            <w:r>
              <w:rPr>
                <w:rFonts w:ascii="仿宋_GB2312" w:hAnsi="仿宋_GB2312" w:cs="仿宋_GB2312" w:eastAsia="仿宋_GB2312"/>
                <w:sz w:val="20"/>
                <w:b/>
              </w:rPr>
              <w:t>9</w:t>
            </w:r>
            <w:r>
              <w:rPr>
                <w:rFonts w:ascii="仿宋_GB2312" w:hAnsi="仿宋_GB2312" w:cs="仿宋_GB2312" w:eastAsia="仿宋_GB2312"/>
                <w:sz w:val="20"/>
                <w:b/>
              </w:rPr>
              <w:t>00MHz天线）</w:t>
            </w:r>
          </w:p>
          <w:p>
            <w:pPr>
              <w:pStyle w:val="null3"/>
              <w:jc w:val="both"/>
            </w:pPr>
            <w:r>
              <w:rPr>
                <w:rFonts w:ascii="仿宋_GB2312" w:hAnsi="仿宋_GB2312" w:cs="仿宋_GB2312" w:eastAsia="仿宋_GB2312"/>
                <w:sz w:val="20"/>
              </w:rPr>
              <w:t>2.1天线可独立探测，也可与其他组合为天线阵列探测；</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天线形式：椭圆形蝶式偶极子；</w:t>
            </w:r>
          </w:p>
          <w:p>
            <w:pPr>
              <w:pStyle w:val="null3"/>
              <w:jc w:val="both"/>
            </w:pPr>
            <w:r>
              <w:rPr>
                <w:rFonts w:ascii="仿宋_GB2312" w:hAnsi="仿宋_GB2312" w:cs="仿宋_GB2312" w:eastAsia="仿宋_GB2312"/>
                <w:sz w:val="20"/>
              </w:rPr>
              <w:t>▲2.3天线静态叠加次数：≥60000次；</w:t>
            </w:r>
          </w:p>
          <w:p>
            <w:pPr>
              <w:pStyle w:val="null3"/>
              <w:jc w:val="both"/>
            </w:pPr>
            <w:r>
              <w:rPr>
                <w:rFonts w:ascii="仿宋_GB2312" w:hAnsi="仿宋_GB2312" w:cs="仿宋_GB2312" w:eastAsia="仿宋_GB2312"/>
                <w:sz w:val="20"/>
              </w:rPr>
              <w:t>2.4天线固有的带通滤波器带宽：≥250MHz；</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.软件技术参数</w:t>
            </w:r>
            <w:r>
              <w:rPr>
                <w:rFonts w:ascii="仿宋_GB2312" w:hAnsi="仿宋_GB2312" w:cs="仿宋_GB2312" w:eastAsia="仿宋_GB2312"/>
                <w:sz w:val="20"/>
              </w:rPr>
              <w:t>要求</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.1</w:t>
            </w:r>
            <w:r>
              <w:rPr>
                <w:rFonts w:ascii="仿宋_GB2312" w:hAnsi="仿宋_GB2312" w:cs="仿宋_GB2312" w:eastAsia="仿宋_GB2312"/>
                <w:sz w:val="20"/>
              </w:rPr>
              <w:t>支持</w:t>
            </w:r>
            <w:r>
              <w:rPr>
                <w:rFonts w:ascii="仿宋_GB2312" w:hAnsi="仿宋_GB2312" w:cs="仿宋_GB2312" w:eastAsia="仿宋_GB2312"/>
                <w:sz w:val="20"/>
              </w:rPr>
              <w:t>Windows操作界面，包括水平比例、距离和表面归一化、静校正、零位校准、算术函数功能、范围增益、增益恢复、垂直和空间滤波、预测反褶积等功能</w:t>
            </w:r>
            <w:r>
              <w:rPr>
                <w:rFonts w:ascii="仿宋_GB2312" w:hAnsi="仿宋_GB2312" w:cs="仿宋_GB2312" w:eastAsia="仿宋_GB2312"/>
                <w:sz w:val="20"/>
              </w:rPr>
              <w:t>。</w:t>
            </w:r>
            <w:r>
              <w:rPr>
                <w:rFonts w:ascii="仿宋_GB2312" w:hAnsi="仿宋_GB2312" w:cs="仿宋_GB2312" w:eastAsia="仿宋_GB2312"/>
                <w:sz w:val="20"/>
              </w:rPr>
              <w:t>数据显示模式支持线性彩色显示及单波显示。全三维显示支持使用</w:t>
            </w:r>
            <w:r>
              <w:rPr>
                <w:rFonts w:ascii="仿宋_GB2312" w:hAnsi="仿宋_GB2312" w:cs="仿宋_GB2312" w:eastAsia="仿宋_GB2312"/>
                <w:sz w:val="20"/>
              </w:rPr>
              <w:t>256</w:t>
            </w:r>
            <w:r>
              <w:rPr>
                <w:rFonts w:ascii="仿宋_GB2312" w:hAnsi="仿宋_GB2312" w:cs="仿宋_GB2312" w:eastAsia="仿宋_GB2312"/>
                <w:sz w:val="20"/>
              </w:rPr>
              <w:t>种色阶表示信号值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.2 具有二维常数和速度变量偏移、交互式解释、地层绘制和地面真值输入等功能；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.3具有基本数据处理、建筑结构分析和市政管线调查等功能；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.4具有三维分析、桥</w:t>
            </w:r>
            <w:r>
              <w:rPr>
                <w:rFonts w:ascii="仿宋_GB2312" w:hAnsi="仿宋_GB2312" w:cs="仿宋_GB2312" w:eastAsia="仿宋_GB2312"/>
                <w:sz w:val="20"/>
              </w:rPr>
              <w:t>梁结构分析和三维切片等功能；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.5具有路面层解释、路面层厚度、路面状况的评估功能；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.6无需加密狗、注册码，不限安装次数，中文界面；</w:t>
            </w:r>
          </w:p>
          <w:p>
            <w:pPr>
              <w:pStyle w:val="null3"/>
            </w:pPr>
            <w:r>
              <w:rPr>
                <w:rFonts w:ascii="仿宋_GB2312" w:hAnsi="仿宋_GB2312" w:cs="仿宋_GB2312" w:eastAsia="仿宋_GB2312"/>
                <w:sz w:val="20"/>
              </w:rPr>
              <w:t>3</w:t>
            </w:r>
            <w:r>
              <w:rPr>
                <w:rFonts w:ascii="仿宋_GB2312" w:hAnsi="仿宋_GB2312" w:cs="仿宋_GB2312" w:eastAsia="仿宋_GB2312"/>
                <w:sz w:val="20"/>
              </w:rPr>
              <w:t>.7</w:t>
            </w:r>
            <w:r>
              <w:rPr>
                <w:rFonts w:ascii="仿宋_GB2312" w:hAnsi="仿宋_GB2312" w:cs="仿宋_GB2312" w:eastAsia="仿宋_GB2312"/>
                <w:sz w:val="20"/>
              </w:rPr>
              <w:t>需提供</w:t>
            </w:r>
            <w:r>
              <w:rPr>
                <w:rFonts w:ascii="仿宋_GB2312" w:hAnsi="仿宋_GB2312" w:cs="仿宋_GB2312" w:eastAsia="仿宋_GB2312"/>
                <w:sz w:val="20"/>
              </w:rPr>
              <w:t>软件终身升级</w:t>
            </w:r>
            <w:r>
              <w:rPr>
                <w:rFonts w:ascii="仿宋_GB2312" w:hAnsi="仿宋_GB2312" w:cs="仿宋_GB2312" w:eastAsia="仿宋_GB2312"/>
                <w:sz w:val="20"/>
              </w:rPr>
              <w:t>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合同签订后，国产设备60个日历日完成供货、安装、调试，达到交付使用条件。进口设备120个日历日完成供货、安装、调试，达到交付使用条件。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 《城市工程地球物理探测标准》(CJJ/T7-2017) 《城市地下病害体综合探测与风险评估技术标准》(JGJ/T 437-2018) 《道路塌陷隐患雷达检测技术导则》(RISN-TG024-2016) 《道路塌陷隐患雷达检测技术规范》(T/CMEA2-2018) 《地质灾害危险性评估规范》(GB/T40112-20 21) 《地面坍塌隐患探地雷达检测技术规范》(DB4403492-2024) 产品保修期（三包期）：自验收合格之日起1年 产品保修期（三包期）内，修理、更换、退货要求：（1）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质保期：质保期不低于1年。质保期自甲方货物质量验收合格之日起计算。质保期内出现任何非人为故意损坏的质量问题，由乙方包换或包退，并承担调换或退货的全部费用。采购人报修后三日内投标人必须响应，否则将依据有关法律、法规进行追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因电子化字数限制，3.5其他要求详见附件。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供应商应提交的相关资格证明材料 陕西省政府采购供应商拒绝政府采购领域商业贿赂承诺书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带“★”符合“技术参数与性能指标”要求，无重大偏差</w:t>
            </w:r>
          </w:p>
        </w:tc>
        <w:tc>
          <w:tcPr>
            <w:tcW w:type="dxa" w:w="1661"/>
          </w:tcPr>
          <w:p>
            <w:pPr>
              <w:pStyle w:val="null3"/>
            </w:pPr>
            <w:r>
              <w:rPr>
                <w:rFonts w:ascii="仿宋_GB2312" w:hAnsi="仿宋_GB2312" w:cs="仿宋_GB2312" w:eastAsia="仿宋_GB2312"/>
              </w:rPr>
              <w:t>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标记为“▲”为重要技术条款，“▲”技术指标每负偏离一项扣4分，普通参数负偏离一项扣1分，扣完为止。以上标记为“▲”参数须提供证明材料：生产厂家公开发布的产品技术资料或第三方国家权威机构出具的证明文件或技术白皮书或网站截图等证明材料，未提供证明材料视为负偏离。 注：投标人自行承担因材料提供不全导致的技术参数评审风险。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项目组织方案</w:t>
            </w:r>
          </w:p>
        </w:tc>
        <w:tc>
          <w:tcPr>
            <w:tcW w:type="dxa" w:w="2492"/>
          </w:tcPr>
          <w:p>
            <w:pPr>
              <w:pStyle w:val="null3"/>
            </w:pPr>
            <w:r>
              <w:rPr>
                <w:rFonts w:ascii="仿宋_GB2312" w:hAnsi="仿宋_GB2312" w:cs="仿宋_GB2312" w:eastAsia="仿宋_GB2312"/>
              </w:rPr>
              <w:t>一、评审内容 根据供应商提供的项目组织方案①项目人员安排（包含但不限于主要人员名单及基本情况介绍、在本项目中承担的职责等）②供货方案（包含但不限于产品来源、供货计划、供货时间、包装和运输方式等）③测试（调试）方案（包含但不限于人员安排、测试步骤、测试标准等）。 二、评审标准 1、完整性：方案须全面，对评审内容中的各项要求有详细描述； 2、可实施性：切合本项目实际情况，实施步骤清晰、合理； 3、针对性：方案能够紧扣项目实际情况，内容科学合理。 三、赋分依据 ①项目人员安排：每完全满足一个评审标准得1分，满分3分； ②供货方案:每完全满足一个评审标准得1分，满分3分； ③测试（调试）方案:每完全满足一个评审标准得1分，满分3分。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 投标人根据项目实际需求，提供质量保证方案。内容包含：①产品配置②质量管控方案（包括但不限于质量管控的标准、方法和程序等）③质量保证措施。 2.评审标准 ①完整性：方案须全面，对评审内容中的各项要求有详细描述；②合理性：切合本项目实际情况，实施步骤清晰、合理； ③针对性：方案能够紧扣项目实际情况，内容科学合理。 3.赋分依据 ①产品配置：每完全满足一项评审标准得1分，满分3分； ②质量管控方案：每完全满足一项评审标准得1分，满分3分； ③质量保证措施：每完全满足一项评审标准得1分，满分3分。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 根据项目实际需求提供售后服务方案。内容包含①培训内容、培训方式②培训团队人员配置、培训计划。 二、评审标准 1、完整性：方案须全面，对评审内容中的各项要求有详细描述； 2、可实施性：切合本项目实际情况，实施步骤清晰、合理； 3、针对性：方案能够紧扣项目实际情况，内容科学合理。 三、赋分依据 ①培训内容、培训方式：每完全满足一个评审标准得1分，满分3分； ②培训团队人员配置、培训计划:每完全满足一个评审标准得1分，满分3分。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根据项目实际需求提供售后服务方案。内容包含①售后服务承诺②巡检方案③备品备件（易耗品）供应方案（含备件价格）④服务人员配备⑤故障响应措施⑥质保外服务措施。 二、评审标准 ①可实施性：切合本项目实际情况，方案全面、实施步骤清晰、计划合理； ②针对性：方案能够紧扣项目实际情况，内容科学合理。 三、赋分依据 ①售后服务承诺：每完全满足一个评审标准得1分，满分2分； ②巡检方案：每完全满足一个评审标准得1分，满分2分； ③备件（易耗品）供应方案（含备件价格）：每完全满足一个评审标准得1分，满分2分； ④服务人员配备：每完全满足一个评审标准得1分，满分2分； ⑤故障响应措施：每完全满足一个评审标准得1分，满分2分；⑥质保外服务措施：每完全满足一个评审标准得1分，满分2分。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须提供投标人2023年1月1日至投标文件递交截止时间类似项目业绩（以合同签订日期为准），每份合格业绩合同计2分，满分4分。 备注：需提供业绩合同，并加盖投标人公章。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 注：小微企业、监狱企业或残疾人福利性单位产品的价格给予10%的扣除后，再参与价格评审。对于本国产品给予20%的价格扣除，用扣除后的价格参与评审。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详见附件：响应方案说明</w:t>
      </w:r>
    </w:p>
    <w:p>
      <w:pPr>
        <w:pStyle w:val="null3"/>
        <w:ind w:firstLine="960"/>
      </w:pPr>
      <w:r>
        <w:rPr>
          <w:rFonts w:ascii="仿宋_GB2312" w:hAnsi="仿宋_GB2312" w:cs="仿宋_GB2312" w:eastAsia="仿宋_GB2312"/>
        </w:rPr>
        <w:t>详见附件：投标保证金缴纳凭证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