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版本号：LHZBZC2025146S20260417001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凝胶色谱分子量分布仪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LHZBZC2025146S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凝胶色谱分子量分布仪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LHZBZC2025146S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凝胶色谱分子量分布仪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凝胶色谱分子量分布仪是地表水、自来水、生活污水及工业废水等研究领域的重要设备，用于精准解析水体中溶解性有机质(DOM)的分子量分布、组分构成及浓度特征。通过凝胶色谱功能，将DOM从大分子到小分子逐级拉开，利用旋转薄膜紫外氧化反应器、有机碳(OCD)及有机氮检测器(OND)，能同步获取DOM中碳、氮含量及分子结构信息，满足复杂样品（如腐殖酸、蛋白质）的多维度表征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产品授权：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p>
      <w:pPr>
        <w:pStyle w:val="null3"/>
      </w:pPr>
      <w:r>
        <w:rPr>
          <w:rFonts w:ascii="仿宋_GB2312" w:hAnsi="仿宋_GB2312" w:cs="仿宋_GB2312" w:eastAsia="仿宋_GB2312"/>
        </w:rPr>
        <w:t>11、本项目不接受联合体投标，不允许分包：供应商应提供《非联合体不分包投标声明》，视为独立投标，不分包。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高禧、黄沛、宋妍、陈新鹏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联系人：高禧、黄沛、宋妍、陈新鹏</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凝胶色谱分子量分布仪是地表水、自来水、生活污水及工业废水等研究领域的重要设备，用于精准解析水体中溶解性有机质(DOM)的分子量分布、组分构成及浓度特征。通过凝胶色谱功能，将DOM从大分子到小分子逐级拉开，利用旋转薄膜紫外氧化反应器、有机碳(OCD)及有机氮检测器(OND)，能同步获取DOM中碳、氮含量及分子结构信息，满足复杂样品（如腐殖酸、蛋白质）的多维度表征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凝胶色谱分子量分布仪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标的名称：凝胶色谱分子量分布仪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一、功能要求：凝胶色谱分子量分布仪由液相色谱及有机碳有机氮检测仪构成，能实现有机物组分分离与有机碳、有机氮、紫外检测的同时测定，后期可升级荧光检测器以及馏分收集器。</w:t>
            </w:r>
          </w:p>
          <w:p>
            <w:pPr>
              <w:pStyle w:val="null3"/>
              <w:jc w:val="both"/>
            </w:pPr>
            <w:r>
              <w:rPr>
                <w:rFonts w:ascii="仿宋_GB2312" w:hAnsi="仿宋_GB2312" w:cs="仿宋_GB2312" w:eastAsia="仿宋_GB2312"/>
                <w:sz w:val="20"/>
              </w:rPr>
              <w:t>二、技术要求</w:t>
            </w:r>
          </w:p>
          <w:p>
            <w:pPr>
              <w:pStyle w:val="null3"/>
              <w:jc w:val="both"/>
            </w:pPr>
            <w:r>
              <w:rPr>
                <w:rFonts w:ascii="仿宋_GB2312" w:hAnsi="仿宋_GB2312" w:cs="仿宋_GB2312" w:eastAsia="仿宋_GB2312"/>
                <w:sz w:val="20"/>
              </w:rPr>
              <w:t>（一）溶解性有机碳</w:t>
            </w:r>
            <w:r>
              <w:rPr>
                <w:rFonts w:ascii="仿宋_GB2312" w:hAnsi="仿宋_GB2312" w:cs="仿宋_GB2312" w:eastAsia="仿宋_GB2312"/>
                <w:sz w:val="20"/>
              </w:rPr>
              <w:t>/溶解性有机氮反应器</w:t>
            </w:r>
          </w:p>
          <w:p>
            <w:pPr>
              <w:pStyle w:val="null3"/>
              <w:jc w:val="both"/>
            </w:pPr>
            <w:r>
              <w:rPr>
                <w:rFonts w:ascii="仿宋_GB2312" w:hAnsi="仿宋_GB2312" w:cs="仿宋_GB2312" w:eastAsia="仿宋_GB2312"/>
                <w:sz w:val="20"/>
              </w:rPr>
              <w:t>▲1.薄膜反应器:内置紫外灯可对含碳有机化合物进行快速氧化</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能耗：</w:t>
            </w:r>
            <w:r>
              <w:rPr>
                <w:rFonts w:ascii="仿宋_GB2312" w:hAnsi="仿宋_GB2312" w:cs="仿宋_GB2312" w:eastAsia="仿宋_GB2312"/>
                <w:sz w:val="20"/>
              </w:rPr>
              <w:t>≤0.5kwh</w:t>
            </w:r>
          </w:p>
          <w:p>
            <w:pPr>
              <w:pStyle w:val="null3"/>
              <w:jc w:val="both"/>
            </w:pPr>
            <w:r>
              <w:rPr>
                <w:rFonts w:ascii="仿宋_GB2312" w:hAnsi="仿宋_GB2312" w:cs="仿宋_GB2312" w:eastAsia="仿宋_GB2312"/>
                <w:sz w:val="20"/>
              </w:rPr>
              <w:t>3.载气：氮气（纯度≥99.99%或者99.999%），流速：≥10L/h</w:t>
            </w:r>
          </w:p>
          <w:p>
            <w:pPr>
              <w:pStyle w:val="null3"/>
              <w:jc w:val="both"/>
            </w:pPr>
            <w:r>
              <w:rPr>
                <w:rFonts w:ascii="仿宋_GB2312" w:hAnsi="仿宋_GB2312" w:cs="仿宋_GB2312" w:eastAsia="仿宋_GB2312"/>
                <w:sz w:val="20"/>
              </w:rPr>
              <w:t>4.流动相：磷酸盐缓冲剂（22.5</w:t>
            </w:r>
            <w:r>
              <w:rPr>
                <w:rFonts w:ascii="仿宋_GB2312" w:hAnsi="仿宋_GB2312" w:cs="仿宋_GB2312" w:eastAsia="仿宋_GB2312"/>
                <w:sz w:val="20"/>
              </w:rPr>
              <w:t>mmol/L</w:t>
            </w:r>
            <w:r>
              <w:rPr>
                <w:rFonts w:ascii="仿宋_GB2312" w:hAnsi="仿宋_GB2312" w:cs="仿宋_GB2312" w:eastAsia="仿宋_GB2312"/>
                <w:sz w:val="20"/>
              </w:rPr>
              <w:t>），</w:t>
            </w:r>
            <w:r>
              <w:rPr>
                <w:rFonts w:ascii="仿宋_GB2312" w:hAnsi="仿宋_GB2312" w:cs="仿宋_GB2312" w:eastAsia="仿宋_GB2312"/>
                <w:sz w:val="20"/>
              </w:rPr>
              <w:t>pH标液6.59±0.01，24小时用量≤3 L。</w:t>
            </w:r>
          </w:p>
          <w:p>
            <w:pPr>
              <w:pStyle w:val="null3"/>
              <w:jc w:val="both"/>
            </w:pPr>
            <w:r>
              <w:rPr>
                <w:rFonts w:ascii="仿宋_GB2312" w:hAnsi="仿宋_GB2312" w:cs="仿宋_GB2312" w:eastAsia="仿宋_GB2312"/>
                <w:sz w:val="20"/>
              </w:rPr>
              <w:t xml:space="preserve">5. 酸化溶液:磷酸 PH值 1.5 ，24小时用量≤0.8 </w:t>
            </w:r>
            <w:r>
              <w:rPr>
                <w:rFonts w:ascii="仿宋_GB2312" w:hAnsi="仿宋_GB2312" w:cs="仿宋_GB2312" w:eastAsia="仿宋_GB2312"/>
                <w:sz w:val="20"/>
              </w:rPr>
              <w:t>L</w:t>
            </w:r>
          </w:p>
          <w:p>
            <w:pPr>
              <w:pStyle w:val="null3"/>
              <w:jc w:val="both"/>
            </w:pPr>
            <w:r>
              <w:rPr>
                <w:rFonts w:ascii="仿宋_GB2312" w:hAnsi="仿宋_GB2312" w:cs="仿宋_GB2312" w:eastAsia="仿宋_GB2312"/>
                <w:sz w:val="20"/>
              </w:rPr>
              <w:t xml:space="preserve">6.有机碳测量范围涵盖：0.001ppm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5ppm</w:t>
            </w:r>
          </w:p>
          <w:p>
            <w:pPr>
              <w:pStyle w:val="null3"/>
              <w:jc w:val="both"/>
            </w:pPr>
            <w:r>
              <w:rPr>
                <w:rFonts w:ascii="仿宋_GB2312" w:hAnsi="仿宋_GB2312" w:cs="仿宋_GB2312" w:eastAsia="仿宋_GB2312"/>
                <w:sz w:val="20"/>
              </w:rPr>
              <w:t xml:space="preserve">7.有机碳测量范围(支路)涵盖：1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5000 ppb</w:t>
            </w:r>
          </w:p>
          <w:p>
            <w:pPr>
              <w:pStyle w:val="null3"/>
              <w:jc w:val="both"/>
            </w:pPr>
            <w:r>
              <w:rPr>
                <w:rFonts w:ascii="仿宋_GB2312" w:hAnsi="仿宋_GB2312" w:cs="仿宋_GB2312" w:eastAsia="仿宋_GB2312"/>
                <w:sz w:val="20"/>
              </w:rPr>
              <w:t>8.有机碳测量精度：50 ppb</w:t>
            </w:r>
          </w:p>
          <w:p>
            <w:pPr>
              <w:pStyle w:val="null3"/>
              <w:jc w:val="both"/>
            </w:pPr>
            <w:r>
              <w:rPr>
                <w:rFonts w:ascii="仿宋_GB2312" w:hAnsi="仿宋_GB2312" w:cs="仿宋_GB2312" w:eastAsia="仿宋_GB2312"/>
                <w:sz w:val="20"/>
              </w:rPr>
              <w:t>▲9.采用近红外检测器，检测TOC</w:t>
            </w:r>
          </w:p>
          <w:p>
            <w:pPr>
              <w:pStyle w:val="null3"/>
              <w:jc w:val="both"/>
            </w:pPr>
            <w:r>
              <w:rPr>
                <w:rFonts w:ascii="仿宋_GB2312" w:hAnsi="仿宋_GB2312" w:cs="仿宋_GB2312" w:eastAsia="仿宋_GB2312"/>
                <w:sz w:val="20"/>
              </w:rPr>
              <w:t>▲10.有机碳最低检测限：≤1 ppb</w:t>
            </w:r>
          </w:p>
          <w:p>
            <w:pPr>
              <w:pStyle w:val="null3"/>
              <w:jc w:val="both"/>
            </w:pPr>
            <w:r>
              <w:rPr>
                <w:rFonts w:ascii="仿宋_GB2312" w:hAnsi="仿宋_GB2312" w:cs="仿宋_GB2312" w:eastAsia="仿宋_GB2312"/>
                <w:sz w:val="20"/>
              </w:rPr>
              <w:t>▲11.紫外检测器：基线噪音≤ 6 X 10</w:t>
            </w:r>
            <w:r>
              <w:rPr>
                <w:rFonts w:ascii="仿宋_GB2312" w:hAnsi="仿宋_GB2312" w:cs="仿宋_GB2312" w:eastAsia="仿宋_GB2312"/>
                <w:sz w:val="20"/>
                <w:vertAlign w:val="superscript"/>
              </w:rPr>
              <w:t>-5</w:t>
            </w:r>
            <w:r>
              <w:rPr>
                <w:rFonts w:ascii="仿宋_GB2312" w:hAnsi="仿宋_GB2312" w:cs="仿宋_GB2312" w:eastAsia="仿宋_GB2312"/>
                <w:sz w:val="20"/>
              </w:rPr>
              <w:t>AU</w:t>
            </w:r>
          </w:p>
          <w:p>
            <w:pPr>
              <w:pStyle w:val="null3"/>
              <w:jc w:val="both"/>
            </w:pPr>
            <w:r>
              <w:rPr>
                <w:rFonts w:ascii="仿宋_GB2312" w:hAnsi="仿宋_GB2312" w:cs="仿宋_GB2312" w:eastAsia="仿宋_GB2312"/>
                <w:sz w:val="20"/>
              </w:rPr>
              <w:t>▲12.有机氮检测器：基线噪音≤3 X 10</w:t>
            </w:r>
            <w:r>
              <w:rPr>
                <w:rFonts w:ascii="仿宋_GB2312" w:hAnsi="仿宋_GB2312" w:cs="仿宋_GB2312" w:eastAsia="仿宋_GB2312"/>
                <w:sz w:val="20"/>
                <w:vertAlign w:val="superscript"/>
              </w:rPr>
              <w:t>-5</w:t>
            </w:r>
            <w:r>
              <w:rPr>
                <w:rFonts w:ascii="仿宋_GB2312" w:hAnsi="仿宋_GB2312" w:cs="仿宋_GB2312" w:eastAsia="仿宋_GB2312"/>
                <w:sz w:val="20"/>
              </w:rPr>
              <w:t>AU</w:t>
            </w:r>
          </w:p>
          <w:p>
            <w:pPr>
              <w:pStyle w:val="null3"/>
              <w:jc w:val="both"/>
            </w:pPr>
            <w:r>
              <w:rPr>
                <w:rFonts w:ascii="仿宋_GB2312" w:hAnsi="仿宋_GB2312" w:cs="仿宋_GB2312" w:eastAsia="仿宋_GB2312"/>
                <w:sz w:val="20"/>
              </w:rPr>
              <w:t>13.自动进样器位数：≥36孔。</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自动进样器能保证</w:t>
            </w:r>
            <w:r>
              <w:rPr>
                <w:rFonts w:ascii="仿宋_GB2312" w:hAnsi="仿宋_GB2312" w:cs="仿宋_GB2312" w:eastAsia="仿宋_GB2312"/>
                <w:sz w:val="20"/>
              </w:rPr>
              <w:t>≥5天的连续自动化分析。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15.自动进样器具有帕尔贴控温</w:t>
            </w:r>
          </w:p>
          <w:p>
            <w:pPr>
              <w:pStyle w:val="null3"/>
              <w:jc w:val="both"/>
            </w:pPr>
            <w:r>
              <w:rPr>
                <w:rFonts w:ascii="仿宋_GB2312" w:hAnsi="仿宋_GB2312" w:cs="仿宋_GB2312" w:eastAsia="仿宋_GB2312"/>
                <w:sz w:val="20"/>
              </w:rPr>
              <w:t>16.具有溶解碳反应器，可去除无机碳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17分子量检测范围：</w:t>
            </w:r>
            <w:r>
              <w:rPr>
                <w:rFonts w:ascii="仿宋_GB2312" w:hAnsi="仿宋_GB2312" w:cs="仿宋_GB2312" w:eastAsia="仿宋_GB2312"/>
                <w:sz w:val="20"/>
              </w:rPr>
              <w:t>500-80000 Da</w:t>
            </w:r>
          </w:p>
          <w:p>
            <w:pPr>
              <w:pStyle w:val="null3"/>
              <w:jc w:val="both"/>
            </w:pPr>
            <w:r>
              <w:rPr>
                <w:rFonts w:ascii="仿宋_GB2312" w:hAnsi="仿宋_GB2312" w:cs="仿宋_GB2312" w:eastAsia="仿宋_GB2312"/>
                <w:sz w:val="20"/>
              </w:rPr>
              <w:t>18.在不改动硬件的情况下能通过手动进样装置快速进行TOC测定；</w:t>
            </w:r>
          </w:p>
          <w:p>
            <w:pPr>
              <w:pStyle w:val="null3"/>
              <w:jc w:val="both"/>
            </w:pPr>
            <w:r>
              <w:rPr>
                <w:rFonts w:ascii="仿宋_GB2312" w:hAnsi="仿宋_GB2312" w:cs="仿宋_GB2312" w:eastAsia="仿宋_GB2312"/>
                <w:sz w:val="20"/>
              </w:rPr>
              <w:t>19.软件：操作软件支持图形化编程与 Excel 模板定制</w:t>
            </w:r>
          </w:p>
          <w:p>
            <w:pPr>
              <w:pStyle w:val="null3"/>
              <w:jc w:val="both"/>
            </w:pPr>
            <w:r>
              <w:rPr>
                <w:rFonts w:ascii="仿宋_GB2312" w:hAnsi="仿宋_GB2312" w:cs="仿宋_GB2312" w:eastAsia="仿宋_GB2312"/>
                <w:sz w:val="20"/>
              </w:rPr>
              <w:t>（二）软件：操作软件支持图形化编程与</w:t>
            </w:r>
            <w:r>
              <w:rPr>
                <w:rFonts w:ascii="仿宋_GB2312" w:hAnsi="仿宋_GB2312" w:cs="仿宋_GB2312" w:eastAsia="仿宋_GB2312"/>
                <w:sz w:val="20"/>
              </w:rPr>
              <w:t>Excel 模板定制</w:t>
            </w:r>
          </w:p>
          <w:p>
            <w:pPr>
              <w:pStyle w:val="null3"/>
              <w:jc w:val="both"/>
            </w:pPr>
            <w:r>
              <w:rPr>
                <w:rFonts w:ascii="仿宋_GB2312" w:hAnsi="仿宋_GB2312" w:cs="仿宋_GB2312" w:eastAsia="仿宋_GB2312"/>
                <w:sz w:val="20"/>
              </w:rPr>
              <w:t>（三）配置要求</w:t>
            </w:r>
          </w:p>
          <w:p>
            <w:pPr>
              <w:pStyle w:val="null3"/>
              <w:jc w:val="both"/>
            </w:pPr>
            <w:r>
              <w:rPr>
                <w:rFonts w:ascii="仿宋_GB2312" w:hAnsi="仿宋_GB2312" w:cs="仿宋_GB2312" w:eastAsia="仿宋_GB2312"/>
                <w:sz w:val="20"/>
              </w:rPr>
              <w:t>1.薄膜反应器</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 xml:space="preserve">2.薄膜反应器内置灯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 xml:space="preserve">3.淋洗液有机氮背景消除反应器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4.溶剂性有机碳反应器（扣除流动相背景TOC）</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5.电机和安装件 1套</w:t>
            </w:r>
          </w:p>
          <w:p>
            <w:pPr>
              <w:pStyle w:val="null3"/>
              <w:jc w:val="both"/>
            </w:pPr>
            <w:r>
              <w:rPr>
                <w:rFonts w:ascii="仿宋_GB2312" w:hAnsi="仿宋_GB2312" w:cs="仿宋_GB2312" w:eastAsia="仿宋_GB2312"/>
                <w:sz w:val="20"/>
              </w:rPr>
              <w:t>6.UVD紫外灯及测量池  1个</w:t>
            </w:r>
          </w:p>
          <w:p>
            <w:pPr>
              <w:pStyle w:val="null3"/>
              <w:jc w:val="both"/>
            </w:pPr>
            <w:r>
              <w:rPr>
                <w:rFonts w:ascii="仿宋_GB2312" w:hAnsi="仿宋_GB2312" w:cs="仿宋_GB2312" w:eastAsia="仿宋_GB2312"/>
                <w:sz w:val="20"/>
              </w:rPr>
              <w:t>7. OND灯及测量池  1个</w:t>
            </w:r>
          </w:p>
          <w:p>
            <w:pPr>
              <w:pStyle w:val="null3"/>
              <w:jc w:val="both"/>
            </w:pPr>
            <w:r>
              <w:rPr>
                <w:rFonts w:ascii="仿宋_GB2312" w:hAnsi="仿宋_GB2312" w:cs="仿宋_GB2312" w:eastAsia="仿宋_GB2312"/>
                <w:sz w:val="20"/>
              </w:rPr>
              <w:t>8.稀释注射器 10ML</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8.毛细管和连接头</w:t>
            </w:r>
            <w:r>
              <w:rPr>
                <w:rFonts w:ascii="仿宋_GB2312" w:hAnsi="仿宋_GB2312" w:cs="仿宋_GB2312" w:eastAsia="仿宋_GB2312"/>
                <w:sz w:val="20"/>
              </w:rPr>
              <w:t>按需</w:t>
            </w:r>
          </w:p>
          <w:p>
            <w:pPr>
              <w:pStyle w:val="null3"/>
              <w:jc w:val="both"/>
            </w:pPr>
            <w:r>
              <w:rPr>
                <w:rFonts w:ascii="仿宋_GB2312" w:hAnsi="仿宋_GB2312" w:cs="仿宋_GB2312" w:eastAsia="仿宋_GB2312"/>
                <w:sz w:val="20"/>
              </w:rPr>
              <w:t>9.帕尔贴冷却器</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10. PT 100 温度传感器</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 xml:space="preserve">11. 溶剂入口过滤器 </w:t>
            </w:r>
            <w:r>
              <w:rPr>
                <w:rFonts w:ascii="仿宋_GB2312" w:hAnsi="仿宋_GB2312" w:cs="仿宋_GB2312" w:eastAsia="仿宋_GB2312"/>
                <w:sz w:val="20"/>
              </w:rPr>
              <w:t>3个</w:t>
            </w:r>
          </w:p>
          <w:p>
            <w:pPr>
              <w:pStyle w:val="null3"/>
              <w:jc w:val="both"/>
            </w:pPr>
            <w:r>
              <w:rPr>
                <w:rFonts w:ascii="仿宋_GB2312" w:hAnsi="仿宋_GB2312" w:cs="仿宋_GB2312" w:eastAsia="仿宋_GB2312"/>
                <w:sz w:val="20"/>
              </w:rPr>
              <w:t>12. SS半预处理过滤组件</w:t>
            </w:r>
            <w:r>
              <w:rPr>
                <w:rFonts w:ascii="仿宋_GB2312" w:hAnsi="仿宋_GB2312" w:cs="仿宋_GB2312" w:eastAsia="仿宋_GB2312"/>
                <w:sz w:val="20"/>
              </w:rPr>
              <w:t>2个</w:t>
            </w:r>
          </w:p>
          <w:p>
            <w:pPr>
              <w:pStyle w:val="null3"/>
              <w:jc w:val="both"/>
            </w:pPr>
            <w:r>
              <w:rPr>
                <w:rFonts w:ascii="仿宋_GB2312" w:hAnsi="仿宋_GB2312" w:cs="仿宋_GB2312" w:eastAsia="仿宋_GB2312"/>
                <w:sz w:val="20"/>
              </w:rPr>
              <w:t xml:space="preserve">13. 废液泵(包括支架)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14. 有机玻璃圆柱体（用于酸化）</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15. 自动进样器进样针</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16. HPLC泵维护套件（含阀/弹簧/活塞杆和风扇）</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17. 自动进样器齿带</w:t>
            </w:r>
            <w:r>
              <w:rPr>
                <w:rFonts w:ascii="仿宋_GB2312" w:hAnsi="仿宋_GB2312" w:cs="仿宋_GB2312" w:eastAsia="仿宋_GB2312"/>
                <w:sz w:val="20"/>
              </w:rPr>
              <w:t>2根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合同签订后，国产设备90个日历日完成供货、安装、调试，达到交付使用条件。进口设备180个日历日完成供货、安装、调试，达到交付使用条件。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设备安装符合相关标准；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产品保修期：自验收合格之日起1年。 （1）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（4）质保服务：不低于 1 年。质保期自采购人在货物质量验收合格之日起计算。保修期内由中标人质保，采购人报修后三日内投标人必须响应，否则将依据有关法律、法规进行追偿；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（6）采购标的的专用工具、备品备件、安装调试及配套工程、质量保证、售后服务等要求： ①专用工具及备件 备品备件：提供仪器所需的备品备件。 ②安装调试要求 安装时间：工程师需于接到安装申请后一周内上门安装； 调试周期：连续48小时无故障运行测试； 人员培训：质保期内，乙方提供现场操作培训，直至甲方指定人员能独立完成标准操作流程为止。 ③质量保证 质量追溯：提供产品质量证明文件； 货物要求：以采购人的要求为准，为采购人提供全新的货物（包括零部件）。 ④售后服务 在接到用户故障报告电话后，2 小时内响应， 24 小时内提出解决方案，必要时，维修服务工程师在72小时内到达现场。 （7）中标供应商货物经过双方检验认可后，签署验收报告，产品保修期自验收合格之日起算，由中标供应商提供产品保修文件。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如中标供应商在政府采购合同规定的交货日期内仍未能交货，则视为中标供应商不能交货，采购人有权解除政府采购合同，中标供应商除退还已收取的货款外，还应向采购人偿付政府采购合同总金额10%的违约金。 中标供应商所交付货物不符合其投标承诺，存在偷工减料、以次充好情形的，采购人要求更换一次后仍不符合约定的，采购人有权解除政府采购合同，没收履约保证金，并将有关情况上报政府采购监管部门处理。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因电子化字数限制，3.5其他要求详见附件。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关于符合本国产品标准的声明函 供应商应提交的相关资格证明材料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标记为“▲”为重要技术条款，每负偏离一项扣4分。普通参数负偏离一项扣1分，扣完为止。以上标记为“▲”的参数须提供生产厂家公开发布的产品技术资料或第三方国家权威机构出具的证明材料予以佐证，并加盖投标人公章，提供的证明文件与技术表述必须一致。否则，该项条款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根据项目实际需求，提供实施方案。内容包含①供货运输方案②安装验收方案③人员配备④应急预案。 二、评审标准 1、完整性：方案须全面，对评审内容中的各项要求有详细描述； 2、可实施性：切合本项目实际情况，实施步骤清晰、合理； 3、针对性：方案能够紧扣项目实际情况，内容科学合理。 三、赋分依据 ①供货运输方案：每完全满足一个评审标准得1分，满分3分； ②安装验收方案:每完全满足一个评审标准得1分，满分3分； ③人员配备:每完全满足一个评审标准得1分，满分3分； ④应急预案:每完全满足一个评审标准得1分，满分3分。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投标人根据项目实际需求，提供质量保证方案。内容包含：①产品配置及质量保证措施②使用寿命及效果③备品备件方案（包括但不限于供应时间、安装更换方式）。 二、评审标准 ①完整性：方案须全面，对评审内容中的各项要求有详细描述；②合理性：切合本项目实际情况，实施步骤清晰、合理； ③针对性：方案能够紧扣项目实际情况，内容科学合理。 三、赋分依据 ①产品配置及质量保证措施：每完全满足一项评审标准得1分，满分3分； ②使用寿命及效果：每完全满足一项评审标准得1分，满分3分； ③备品备件方案：每完全满足一项评审标准得1分，满分3分。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根据项目实际需求提供售后服务方案。内容包含①售后服务内容②售后服务保障措施③响应时间及方式。 二、评审标准 ①可实施性：切合本项目实际情况，方案全面、实施步骤清晰、计划合理； ②针对性：方案能够紧扣项目实际情况，内容科学合理。 三、赋分依据 ①售后服务内容及保障措施：每完全满足一个评审标准得1分，满分2分； ②售后服务保障措施:每完全满足一个评审标准得1分，满分2分；③响应时间及方式。:每完全满足一个评审标准得1分，满分2分。 质保期高于招标文件要求（1年）的，每增加一年得1分（质量验收合格之日起计算），最高得2分。无承诺不得分。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提供投标人2023年1月1日以来类似项目业绩（以合同签订日期为准），每份合格业绩合同计2分，满分6分。 备注：需提供业绩完整合同及对应中标公告，并加盖投标人公章，以上两种证明材料同时提供方可得分，否则不得分。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 注：小微企业、监狱企业或残疾人福利性单位产品的价格给予10%的扣除后，再参与价格评审。对于本国产品给予20%的价格扣除，用扣除后的价格参与评审。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