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B817CB4">
      <w:pPr>
        <w:pStyle w:val="6"/>
        <w:spacing w:line="360" w:lineRule="auto"/>
        <w:outlineLvl w:val="2"/>
        <w:rPr>
          <w:rFonts w:hint="default"/>
          <w:highlight w:val="none"/>
        </w:rPr>
      </w:pPr>
      <w:r>
        <w:rPr>
          <w:b/>
          <w:sz w:val="28"/>
          <w:highlight w:val="none"/>
        </w:rPr>
        <w:t>3.5其他要求</w:t>
      </w:r>
    </w:p>
    <w:p w14:paraId="44CC7519">
      <w:pPr>
        <w:spacing w:line="360" w:lineRule="auto"/>
        <w:ind w:firstLine="400" w:firstLineChars="200"/>
        <w:rPr>
          <w:rFonts w:asciiTheme="minorHAnsi" w:hAnsiTheme="minorHAnsi" w:eastAsiaTheme="minorEastAsia" w:cstheme="minorBidi"/>
          <w:kern w:val="0"/>
          <w:sz w:val="20"/>
          <w:szCs w:val="20"/>
          <w:highlight w:val="none"/>
        </w:rPr>
      </w:pPr>
      <w:r>
        <w:rPr>
          <w:rFonts w:hint="eastAsia" w:asciiTheme="minorHAnsi" w:hAnsiTheme="minorHAnsi" w:eastAsiaTheme="minorEastAsia" w:cstheme="minorBidi"/>
          <w:kern w:val="0"/>
          <w:sz w:val="20"/>
          <w:szCs w:val="20"/>
          <w:highlight w:val="none"/>
        </w:rPr>
        <w:t>（1）为顺利推进政府采购电子化交易平台应用工作，供应商需要在线提交所有通过电子化交易平台实施的政府采购项目的投标文件。同时，中标人在领取中标通知书时需提交纸质版投标文件</w:t>
      </w:r>
      <w:r>
        <w:rPr>
          <w:rFonts w:hint="eastAsia" w:asciiTheme="minorHAnsi" w:hAnsiTheme="minorHAnsi" w:eastAsiaTheme="minorEastAsia" w:cstheme="minorBidi"/>
          <w:kern w:val="0"/>
          <w:sz w:val="20"/>
          <w:szCs w:val="20"/>
          <w:highlight w:val="none"/>
          <w:lang w:eastAsia="zh-CN"/>
        </w:rPr>
        <w:t>正本壹份、副本叁份</w:t>
      </w:r>
      <w:r>
        <w:rPr>
          <w:rFonts w:hint="eastAsia" w:asciiTheme="minorHAnsi" w:hAnsiTheme="minorHAnsi" w:eastAsiaTheme="minorEastAsia" w:cstheme="minorBidi"/>
          <w:kern w:val="0"/>
          <w:sz w:val="20"/>
          <w:szCs w:val="20"/>
          <w:highlight w:val="none"/>
        </w:rPr>
        <w:t>。质版文件内容应与电子版文件内容保持一致。纸质版投标文件的正本和副本应采用粘贴方式左侧装订，不得采用活页夹的可随时拆换的方式装订，不得有零散页。应按档案要求必须编制目录，无少页、缺页的现象，并连续页码（汇编材料要求首封面开始算第1页，后面只要有字的都算一页，连续编辑页码，尾封面有字算页码，无字不算页码，并在书脊处清楚写明项目名称）。文件送达地点：西安市未央区太华北路甲字88号大明宫中央广场A座22层代理部；</w:t>
      </w:r>
    </w:p>
    <w:p w14:paraId="342D1CD1">
      <w:pPr>
        <w:spacing w:line="360" w:lineRule="auto"/>
        <w:ind w:firstLine="350" w:firstLineChars="175"/>
        <w:rPr>
          <w:rFonts w:asciiTheme="minorHAnsi" w:hAnsiTheme="minorHAnsi" w:eastAsiaTheme="minorEastAsia" w:cstheme="minorBidi"/>
          <w:kern w:val="0"/>
          <w:sz w:val="20"/>
          <w:szCs w:val="20"/>
          <w:highlight w:val="none"/>
        </w:rPr>
      </w:pPr>
      <w:r>
        <w:rPr>
          <w:rFonts w:hint="eastAsia" w:asciiTheme="minorHAnsi" w:hAnsiTheme="minorHAnsi" w:eastAsiaTheme="minorEastAsia" w:cstheme="minorBidi"/>
          <w:kern w:val="0"/>
          <w:sz w:val="20"/>
          <w:szCs w:val="20"/>
          <w:highlight w:val="none"/>
        </w:rPr>
        <w:t>（2）以保函形式交纳投标保证金的，供应商应在投标截止时间前将保函扫描成清晰的PDF文件，发送至邮箱670920970@qq.com（邮件或保证金转账命名：项目编号），并将保函原件单独递交至代理机构；供应商应在投标文件中附保函复印件或扫描件。保函须由具有开具投标保函资格的单位开具；若供应商违约，开具保函单位承担连带责任。</w:t>
      </w:r>
    </w:p>
    <w:p w14:paraId="2C797598">
      <w:pPr>
        <w:pStyle w:val="6"/>
        <w:spacing w:line="360" w:lineRule="auto"/>
        <w:ind w:firstLine="400" w:firstLineChars="200"/>
        <w:rPr>
          <w:rFonts w:ascii="宋体" w:hAnsi="宋体" w:cs="宋体"/>
          <w:szCs w:val="21"/>
          <w:highlight w:val="none"/>
          <w:lang w:val="zh-CN" w:eastAsia="zh-CN"/>
        </w:rPr>
      </w:pPr>
      <w:r>
        <w:rPr>
          <w:rFonts w:ascii="宋体" w:hAnsi="宋体" w:cs="宋体"/>
          <w:szCs w:val="21"/>
          <w:highlight w:val="none"/>
          <w:lang w:eastAsia="zh-CN"/>
        </w:rPr>
        <w:t>（3）根据</w:t>
      </w:r>
      <w:r>
        <w:rPr>
          <w:rFonts w:ascii="宋体" w:hAnsi="宋体" w:cs="宋体"/>
          <w:szCs w:val="21"/>
          <w:highlight w:val="none"/>
          <w:lang w:val="zh-CN" w:eastAsia="zh-CN"/>
        </w:rPr>
        <w:t>《国务院办公厅关于在政府采购中实施本国产品标准及相关政策的通知 》（国办发〔2025〕34号），</w:t>
      </w:r>
      <w:r>
        <w:rPr>
          <w:rFonts w:ascii="宋体" w:hAnsi="宋体" w:cs="宋体"/>
          <w:szCs w:val="21"/>
          <w:highlight w:val="none"/>
          <w:lang w:eastAsia="zh-CN"/>
        </w:rPr>
        <w:t>政府采购活动中既有本国产品又有非本国产品参与竞争的，依法对本国产品给予价格评审优惠，对本国产品的报价给予20%的价格扣除，用扣除后的价格参与评审。当采购项目或者采购包中含有多种产品，投标人为该采购项目或者采购包提供的符合本国产品标准的产品成本之和占该投标人提供的全部产品成本之和的比例达到80%以上时，依法对该投标人提供的全部产品给予价格评审优惠，即对该投标人提供的全部产品的总报价给予20%的价格扣除，用扣除后的价格参与评审。</w:t>
      </w:r>
    </w:p>
    <w:p w14:paraId="3BCB2746">
      <w:pPr>
        <w:pStyle w:val="6"/>
        <w:spacing w:line="360" w:lineRule="auto"/>
        <w:ind w:firstLine="400" w:firstLineChars="200"/>
        <w:rPr>
          <w:rFonts w:ascii="宋体" w:hAnsi="宋体" w:cs="宋体"/>
          <w:szCs w:val="21"/>
          <w:highlight w:val="none"/>
          <w:lang w:val="zh-CN" w:eastAsia="zh-CN"/>
        </w:rPr>
      </w:pPr>
      <w:r>
        <w:rPr>
          <w:rFonts w:hint="default" w:ascii="宋体" w:hAnsi="宋体" w:cs="宋体"/>
          <w:szCs w:val="21"/>
          <w:highlight w:val="none"/>
          <w:lang w:val="zh-CN" w:eastAsia="zh-CN"/>
        </w:rPr>
        <w:t>对于非专门面向中小企业的采购项目，既有本国产品也有非本国产品参与竞争，且提供本国产品的供应商同时为小微企业的，对该供应商的产品同时给予支持本国产品和小微企业产品的价格评审优惠。相关价格评审扣除优惠，均应该在供应商原始报价基础上计算，用扣除后的价格参与评审。</w:t>
      </w:r>
    </w:p>
    <w:p w14:paraId="7CDBFFB5">
      <w:pPr>
        <w:pStyle w:val="6"/>
        <w:spacing w:line="360" w:lineRule="auto"/>
        <w:rPr>
          <w:rFonts w:ascii="宋体" w:hAnsi="宋体" w:eastAsia="宋体" w:cs="宋体"/>
          <w:highlight w:val="none"/>
          <w:lang w:eastAsia="zh-CN"/>
        </w:rPr>
      </w:pPr>
      <w:r>
        <w:rPr>
          <w:rFonts w:ascii="宋体" w:hAnsi="宋体" w:eastAsia="宋体" w:cs="宋体"/>
          <w:highlight w:val="none"/>
          <w:lang w:eastAsia="zh-CN"/>
        </w:rPr>
        <w:t>本国产品标准的适用范围: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14:paraId="0452076B">
      <w:pPr>
        <w:pStyle w:val="6"/>
        <w:spacing w:line="360" w:lineRule="auto"/>
        <w:rPr>
          <w:rFonts w:ascii="宋体" w:hAnsi="宋体" w:cs="宋体"/>
          <w:szCs w:val="21"/>
          <w:highlight w:val="none"/>
          <w:lang w:val="zh-CN" w:eastAsia="zh-CN"/>
        </w:rPr>
      </w:pPr>
      <w:r>
        <w:rPr>
          <w:rFonts w:ascii="宋体" w:hAnsi="宋体" w:eastAsia="宋体" w:cs="宋体"/>
          <w:highlight w:val="none"/>
          <w:lang w:eastAsia="zh-CN"/>
        </w:rPr>
        <w:t>产品应当在中国境内生产，即在中华人民共和国关境内实现从原材料、组件到产品的属性改变。属性改变是指经过制造、加工或者组装等工序，产生完全不同于原材料、组件的新产品，并具有新的名称和特征(用途)。</w:t>
      </w:r>
    </w:p>
    <w:p w14:paraId="6A74F08D">
      <w:pPr>
        <w:pStyle w:val="6"/>
        <w:spacing w:line="360" w:lineRule="auto"/>
        <w:ind w:firstLine="400" w:firstLineChars="200"/>
        <w:rPr>
          <w:rFonts w:ascii="宋体" w:hAnsi="宋体" w:cs="宋体"/>
          <w:szCs w:val="21"/>
          <w:highlight w:val="none"/>
          <w:lang w:eastAsia="zh-CN"/>
        </w:rPr>
      </w:pPr>
      <w:r>
        <w:rPr>
          <w:rFonts w:ascii="宋体" w:hAnsi="宋体" w:cs="宋体"/>
          <w:szCs w:val="21"/>
          <w:highlight w:val="none"/>
          <w:lang w:val="zh-CN" w:eastAsia="zh-CN"/>
        </w:rPr>
        <w:t>（</w:t>
      </w:r>
      <w:r>
        <w:rPr>
          <w:rFonts w:ascii="宋体" w:hAnsi="宋体" w:cs="宋体"/>
          <w:szCs w:val="21"/>
          <w:highlight w:val="none"/>
          <w:lang w:eastAsia="zh-CN"/>
        </w:rPr>
        <w:t>4</w:t>
      </w:r>
      <w:r>
        <w:rPr>
          <w:rFonts w:ascii="宋体" w:hAnsi="宋体" w:cs="宋体"/>
          <w:szCs w:val="21"/>
          <w:highlight w:val="none"/>
          <w:lang w:val="zh-CN" w:eastAsia="zh-CN"/>
        </w:rPr>
        <w:t>）</w:t>
      </w:r>
      <w:r>
        <w:rPr>
          <w:rFonts w:ascii="宋体" w:hAnsi="宋体" w:cs="宋体"/>
          <w:szCs w:val="21"/>
          <w:highlight w:val="none"/>
          <w:lang w:eastAsia="zh-CN"/>
        </w:rPr>
        <w:t>根据</w:t>
      </w:r>
      <w:r>
        <w:rPr>
          <w:rFonts w:ascii="宋体" w:hAnsi="宋体" w:cs="宋体"/>
          <w:szCs w:val="21"/>
          <w:highlight w:val="none"/>
          <w:lang w:val="zh-CN" w:eastAsia="zh-CN"/>
        </w:rPr>
        <w:t>《关于推动解决政府采购异常低价问题的通知》（财库〔2026〕2号）</w:t>
      </w:r>
      <w:r>
        <w:rPr>
          <w:rFonts w:ascii="宋体" w:hAnsi="宋体" w:cs="宋体"/>
          <w:szCs w:val="21"/>
          <w:highlight w:val="none"/>
          <w:lang w:eastAsia="zh-CN"/>
        </w:rPr>
        <w:t>政府采购评审中出现下列情形之一的，评审委员会应当启动异常低价投标（响应）审查程序：</w:t>
      </w:r>
    </w:p>
    <w:p w14:paraId="3CB0F05A">
      <w:pPr>
        <w:pStyle w:val="6"/>
        <w:spacing w:line="360" w:lineRule="auto"/>
        <w:rPr>
          <w:rFonts w:ascii="宋体" w:hAnsi="宋体" w:cs="宋体"/>
          <w:szCs w:val="21"/>
          <w:highlight w:val="none"/>
          <w:lang w:eastAsia="zh-CN"/>
        </w:rPr>
      </w:pPr>
      <w:r>
        <w:rPr>
          <w:rFonts w:ascii="宋体" w:hAnsi="宋体" w:cs="宋体"/>
          <w:szCs w:val="21"/>
          <w:highlight w:val="none"/>
          <w:lang w:eastAsia="zh-CN"/>
        </w:rPr>
        <w:t>①投标（响应）报价低于全部通过符合性审查供应商投标（响应）报价平均值50%的，即投标（响应）报价&lt;全部通过符合性审查供应商投标（响应）报价平均值×50%；</w:t>
      </w:r>
    </w:p>
    <w:p w14:paraId="71673AA6">
      <w:pPr>
        <w:pStyle w:val="6"/>
        <w:spacing w:line="360" w:lineRule="auto"/>
        <w:rPr>
          <w:rFonts w:ascii="宋体" w:hAnsi="宋体" w:cs="宋体"/>
          <w:szCs w:val="21"/>
          <w:highlight w:val="none"/>
          <w:lang w:eastAsia="zh-CN"/>
        </w:rPr>
      </w:pPr>
      <w:r>
        <w:rPr>
          <w:rFonts w:ascii="宋体" w:hAnsi="宋体" w:cs="宋体"/>
          <w:szCs w:val="21"/>
          <w:highlight w:val="none"/>
          <w:lang w:eastAsia="zh-CN"/>
        </w:rPr>
        <w:t>②投标（响应）报价低于通过符合性审查的次低报价供应商投标（响应）报价50%的，即投标（响应）报价&lt;通过符合性审查的次低报价供应商投标（响应）报价×50%；</w:t>
      </w:r>
    </w:p>
    <w:p w14:paraId="2E93B6E5">
      <w:pPr>
        <w:pStyle w:val="6"/>
        <w:spacing w:line="360" w:lineRule="auto"/>
        <w:rPr>
          <w:rFonts w:ascii="宋体" w:hAnsi="宋体" w:cs="宋体"/>
          <w:szCs w:val="21"/>
          <w:highlight w:val="none"/>
          <w:lang w:eastAsia="zh-CN"/>
        </w:rPr>
      </w:pPr>
      <w:r>
        <w:rPr>
          <w:rFonts w:ascii="宋体" w:hAnsi="宋体" w:cs="宋体"/>
          <w:szCs w:val="21"/>
          <w:highlight w:val="none"/>
          <w:lang w:eastAsia="zh-CN"/>
        </w:rPr>
        <w:t>③投标（响应）报价低于采购项目最高限价45%的，即投标（响应）报价&lt;采购项目最高限价×45%；</w:t>
      </w:r>
    </w:p>
    <w:p w14:paraId="7BEF9139">
      <w:pPr>
        <w:pStyle w:val="6"/>
        <w:spacing w:line="360" w:lineRule="auto"/>
        <w:rPr>
          <w:rFonts w:ascii="宋体" w:hAnsi="宋体" w:cs="宋体"/>
          <w:szCs w:val="21"/>
          <w:highlight w:val="none"/>
          <w:lang w:eastAsia="zh-CN"/>
        </w:rPr>
      </w:pPr>
      <w:r>
        <w:rPr>
          <w:rFonts w:ascii="宋体" w:hAnsi="宋体" w:cs="宋体"/>
          <w:szCs w:val="21"/>
          <w:highlight w:val="none"/>
          <w:lang w:eastAsia="zh-CN"/>
        </w:rPr>
        <w:t>④评审委员会基于专业判断，认为供应商报价过低，有可能影响产品质量或者不能诚信履约的其他情形。</w:t>
      </w:r>
    </w:p>
    <w:p w14:paraId="6912FB3F">
      <w:pPr>
        <w:pStyle w:val="6"/>
        <w:spacing w:line="360" w:lineRule="auto"/>
        <w:rPr>
          <w:rFonts w:ascii="宋体" w:hAnsi="宋体" w:cs="宋体"/>
          <w:szCs w:val="21"/>
          <w:highlight w:val="none"/>
          <w:lang w:val="zh-CN" w:eastAsia="zh-CN"/>
        </w:rPr>
      </w:pPr>
      <w:r>
        <w:rPr>
          <w:rFonts w:ascii="宋体" w:hAnsi="宋体" w:cs="宋体"/>
          <w:szCs w:val="21"/>
          <w:highlight w:val="none"/>
          <w:lang w:eastAsia="zh-CN"/>
        </w:rPr>
        <w:t>启动异常低价投标（响应）审查后，属于前述第①项至第④项情形的,供应商在评审现场30分钟内对投标（响应）价格作出解释，提供项目具体成本测算等与报价合理性相关的书面说明及必要的证明材料，包括但不限于原材料成本、人工成本、制造费用等。</w:t>
      </w:r>
      <w:r>
        <w:rPr>
          <w:rFonts w:ascii="宋体" w:hAnsi="宋体" w:cs="宋体"/>
          <w:szCs w:val="21"/>
          <w:highlight w:val="none"/>
          <w:lang w:val="zh-CN" w:eastAsia="zh-CN"/>
        </w:rPr>
        <w:t>属于第</w:t>
      </w:r>
      <w:r>
        <w:rPr>
          <w:rFonts w:ascii="宋体" w:hAnsi="宋体" w:cs="宋体"/>
          <w:szCs w:val="21"/>
          <w:highlight w:val="none"/>
          <w:lang w:eastAsia="zh-CN"/>
        </w:rPr>
        <w:t>③</w:t>
      </w:r>
      <w:r>
        <w:rPr>
          <w:rFonts w:ascii="宋体" w:hAnsi="宋体" w:cs="宋体"/>
          <w:szCs w:val="21"/>
          <w:highlight w:val="none"/>
          <w:lang w:val="zh-CN" w:eastAsia="zh-CN"/>
        </w:rPr>
        <w:t>项情形，供应商已随投标(响应)文件一并提交相关书面说明及必要的证明材料的，在评审现场可不再重复提交。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14:paraId="2849A3B3">
      <w:pPr>
        <w:pStyle w:val="6"/>
        <w:spacing w:line="360" w:lineRule="auto"/>
        <w:ind w:firstLine="400" w:firstLineChars="200"/>
        <w:rPr>
          <w:rFonts w:hint="eastAsia" w:ascii="宋体" w:hAnsi="宋体" w:cs="宋体"/>
          <w:szCs w:val="21"/>
          <w:highlight w:val="none"/>
          <w:lang w:val="zh-CN" w:eastAsia="zh-CN"/>
        </w:rPr>
      </w:pPr>
      <w:r>
        <w:rPr>
          <w:rFonts w:hint="eastAsia" w:ascii="宋体" w:hAnsi="宋体" w:cs="宋体"/>
          <w:szCs w:val="21"/>
          <w:highlight w:val="none"/>
          <w:lang w:val="zh-CN" w:eastAsia="zh-CN"/>
        </w:rPr>
        <w:t>（</w:t>
      </w:r>
      <w:r>
        <w:rPr>
          <w:rFonts w:hint="eastAsia" w:ascii="宋体" w:hAnsi="宋体" w:cs="宋体"/>
          <w:szCs w:val="21"/>
          <w:highlight w:val="none"/>
          <w:lang w:val="en-US" w:eastAsia="zh-CN"/>
        </w:rPr>
        <w:t>5</w:t>
      </w:r>
      <w:r>
        <w:rPr>
          <w:rFonts w:hint="eastAsia" w:ascii="宋体" w:hAnsi="宋体" w:cs="宋体"/>
          <w:szCs w:val="21"/>
          <w:highlight w:val="none"/>
          <w:lang w:val="zh-CN" w:eastAsia="zh-CN"/>
        </w:rPr>
        <w:t>）进口产品付款条件:合同生效后，由采购人通过指定的进口业务代理公司向中标供应商开出全额信用证(100%信用证，进口业务代理服务费由中标供应商承担)，待设备到货、安装调试、并经学校组织验收合格后，信用证100%凭学校出具的正式验收报告解付。最终结算时，中标供应商应通过采购人指定的进口业务代理公司向采购人开具符合采购人要求的合同总价款发票，达到付款条件起30日内，支付合同总金额的100.00%。</w:t>
      </w:r>
    </w:p>
    <w:p w14:paraId="647CF7AA">
      <w:pPr>
        <w:pStyle w:val="6"/>
        <w:spacing w:line="360" w:lineRule="auto"/>
        <w:rPr>
          <w:rFonts w:hint="eastAsia" w:ascii="宋体" w:hAnsi="宋体" w:cs="宋体"/>
          <w:szCs w:val="21"/>
          <w:highlight w:val="none"/>
          <w:lang w:val="zh-CN" w:eastAsia="zh-CN"/>
        </w:rPr>
      </w:pPr>
      <w:r>
        <w:rPr>
          <w:rFonts w:hint="eastAsia" w:ascii="宋体" w:hAnsi="宋体" w:cs="宋体"/>
          <w:szCs w:val="21"/>
          <w:highlight w:val="none"/>
          <w:lang w:val="zh-CN" w:eastAsia="zh-CN"/>
        </w:rPr>
        <w:t>国产产品付款方式：合同签订后5个工作日内，甲方向乙方预付合同总价的40%；设备运抵甲方指定地点并经甲方初步查验无误后7个工作日内，甲方向乙方支付合同总价的30%；设备安装调试完成，经甲方验收合格并签署《验收合格报告》后，乙方开具全额合法有效的增值税专用发票，甲方7个工作日内向乙方支付合同总价的30%。</w:t>
      </w:r>
    </w:p>
    <w:p w14:paraId="577682C3">
      <w:pPr>
        <w:spacing w:line="360" w:lineRule="auto"/>
        <w:ind w:firstLine="400" w:firstLineChars="200"/>
        <w:jc w:val="both"/>
        <w:rPr>
          <w:rFonts w:hint="eastAsia" w:ascii="宋体" w:hAnsi="宋体" w:cs="宋体" w:eastAsiaTheme="minorEastAsia"/>
          <w:kern w:val="0"/>
          <w:sz w:val="20"/>
          <w:szCs w:val="21"/>
          <w:highlight w:val="none"/>
          <w:lang w:val="en-US" w:eastAsia="zh-CN" w:bidi="ar-SA"/>
        </w:rPr>
      </w:pPr>
      <w:r>
        <w:rPr>
          <w:rFonts w:hint="eastAsia" w:ascii="宋体" w:hAnsi="宋体" w:cs="宋体" w:eastAsiaTheme="minorEastAsia"/>
          <w:kern w:val="0"/>
          <w:sz w:val="20"/>
          <w:szCs w:val="21"/>
          <w:highlight w:val="none"/>
          <w:lang w:val="en-US" w:eastAsia="zh-CN" w:bidi="ar-SA"/>
        </w:rPr>
        <w:t>（6）本项目允许采购进口产品。如有满足需求的国内产品要求参与采购竞争的，采购人及其委托的采购代理机构不对其加以限制，按照公平竞争原则实施采购。进口产品按人民币报价，此报价不受市场价格及外汇汇率波动影响。采购人及招标代理机构不接受任何未办理合法进口手续的非国内生产产品的响应报价。投标人所提供的产品型号、产地等重要信息，需要与仪器机身保持一致。因投标人原因（有且不限于型号有误、出具的净重、参数等证明有误、保税区内税号问题等）造成进口货物无法正常报关产生的一切后果及费用由投标人自行承担。最终无法清关的，投标人须重新发运外贸合同中约定的货物。</w:t>
      </w:r>
    </w:p>
    <w:p w14:paraId="25630AE2">
      <w:pPr>
        <w:spacing w:line="360" w:lineRule="auto"/>
        <w:rPr>
          <w:rFonts w:hint="eastAsia" w:ascii="宋体" w:hAnsi="宋体" w:cs="宋体"/>
          <w:szCs w:val="21"/>
          <w:highlight w:val="none"/>
        </w:rPr>
      </w:pPr>
      <w:r>
        <w:rPr>
          <w:rFonts w:hint="default" w:ascii="宋体" w:hAnsi="宋体" w:cs="宋体" w:eastAsiaTheme="minorEastAsia"/>
          <w:kern w:val="0"/>
          <w:sz w:val="20"/>
          <w:szCs w:val="21"/>
          <w:highlight w:val="none"/>
          <w:lang w:val="en-US" w:eastAsia="zh-CN" w:bidi="ar-SA"/>
        </w:rPr>
        <w:t>本项目已通过进口产品论证，投标文件中接受外文资料，但应对应翻译成中文并附在相关外文资料后面。</w:t>
      </w:r>
    </w:p>
    <w:p w14:paraId="0D3474B8">
      <w:pPr>
        <w:pStyle w:val="6"/>
        <w:spacing w:line="360" w:lineRule="auto"/>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6685EA4"/>
    <w:rsid w:val="016D6980"/>
    <w:rsid w:val="06511E5F"/>
    <w:rsid w:val="0992356F"/>
    <w:rsid w:val="0DD31855"/>
    <w:rsid w:val="0FCD29BF"/>
    <w:rsid w:val="116A65C1"/>
    <w:rsid w:val="147026FF"/>
    <w:rsid w:val="151224E2"/>
    <w:rsid w:val="197E690A"/>
    <w:rsid w:val="1E56228E"/>
    <w:rsid w:val="25AE77EF"/>
    <w:rsid w:val="2CD02D92"/>
    <w:rsid w:val="31176FE8"/>
    <w:rsid w:val="31420195"/>
    <w:rsid w:val="3CA559CB"/>
    <w:rsid w:val="40E67721"/>
    <w:rsid w:val="46685EA4"/>
    <w:rsid w:val="4B46773A"/>
    <w:rsid w:val="4D2D7B93"/>
    <w:rsid w:val="4FB32D22"/>
    <w:rsid w:val="4FC869F1"/>
    <w:rsid w:val="559653F1"/>
    <w:rsid w:val="5DD41238"/>
    <w:rsid w:val="5FBF1D53"/>
    <w:rsid w:val="6B3910B3"/>
    <w:rsid w:val="714E0847"/>
    <w:rsid w:val="7B822D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5"/>
    <w:qFormat/>
    <w:uiPriority w:val="0"/>
    <w:pPr>
      <w:keepNext/>
      <w:widowControl/>
      <w:tabs>
        <w:tab w:val="left" w:pos="420"/>
      </w:tabs>
      <w:jc w:val="center"/>
      <w:outlineLvl w:val="0"/>
    </w:pPr>
    <w:rPr>
      <w:rFonts w:ascii="黑体" w:hAnsi="黑体" w:eastAsia="仿宋" w:cs="Times New Roman"/>
      <w:b/>
      <w:kern w:val="0"/>
      <w:sz w:val="28"/>
      <w:szCs w:val="22"/>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character" w:customStyle="1" w:styleId="5">
    <w:name w:val=" Char Char19"/>
    <w:link w:val="2"/>
    <w:qFormat/>
    <w:uiPriority w:val="0"/>
    <w:rPr>
      <w:rFonts w:ascii="黑体" w:hAnsi="黑体" w:eastAsia="仿宋" w:cs="Times New Roman"/>
      <w:b/>
      <w:kern w:val="0"/>
      <w:sz w:val="28"/>
      <w:szCs w:val="22"/>
      <w:lang w:val="en-US" w:eastAsia="zh-CN" w:bidi="ar-SA"/>
    </w:rPr>
  </w:style>
  <w:style w:type="paragraph" w:customStyle="1" w:styleId="6">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2361</Words>
  <Characters>2428</Characters>
  <Lines>0</Lines>
  <Paragraphs>0</Paragraphs>
  <TotalTime>0</TotalTime>
  <ScaleCrop>false</ScaleCrop>
  <LinksUpToDate>false</LinksUpToDate>
  <CharactersWithSpaces>2429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2026-04-16T10:02:00Z</dcterms:created>
  <dc:creator>子夜</dc:creator>
  <cp:lastModifiedBy>子夜</cp:lastModifiedBy>
  <dcterms:modified xsi:type="dcterms:W3CDTF">2026-04-17T01:52:51Z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AFC0E622ADEC4F8295BDF8FD1C1692C4_11</vt:lpwstr>
  </property>
  <property fmtid="{D5CDD505-2E9C-101B-9397-08002B2CF9AE}" pid="4" name="KSOTemplateDocerSaveRecord">
    <vt:lpwstr>eyJoZGlkIjoiZjgyZjZhZDkxNGQxNzg4ZDhlYjkzZTc1NDAzOTBjYWEiLCJ1c2VySWQiOiIyNjAwNjc5MjkifQ==</vt:lpwstr>
  </property>
</Properties>
</file>