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版本号：LHZBZC2025148S20260416001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固体碳组分分析仪</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LHZBZC2025148S</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凌辉建设工程咨询有限公司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凌辉建设工程咨询有限公司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固体碳组分分析仪</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LHZBZC2025148S</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固体碳组分分析仪</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固态样品碳组分分析仪是土壤、地质、地矿等研究领域的一个重要设备，已广泛应用于各项土壤、植物、草业、地质等研究领域中，主要用于土壤、植物、固废、淤泥、沉积物等样品中总有机碳、总无机碳、总碳、元素碳、总氮等分析。一个样品一次进样同时得出TOC、ROC、TIC、TC、TN等多个指标，且样品不需要任何前处理。根据样品性质，选择最佳分析方法，且分析过程中氧气与氮气可根据方法设置进行载气切换，实现ROC与TIC的更有效分离。</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3、社保缴纳证明：提供递交投标文件截止时间前一年内任意一个月的社会保障资金缴存单据或社保机构开具的社会保险参保缴费情况证明。依法不需要缴纳社会保障资金的供应商应提供相关文件证明。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投标文件截止时间前一年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信用记录：供应商在信用中国（www.creditchina.gov.cn）未被列入重大税收违法失信主体、在中国执行信息公开网（http://zxgk.court.gov.cn/）未被列入失信被执行人及在中国政府采购网（www.ccgp.gov.cn）未被列入政府采购严重违法失信行为记录名单。</w:t>
      </w:r>
    </w:p>
    <w:p>
      <w:pPr>
        <w:pStyle w:val="null3"/>
      </w:pPr>
      <w:r>
        <w:rPr>
          <w:rFonts w:ascii="仿宋_GB2312" w:hAnsi="仿宋_GB2312" w:cs="仿宋_GB2312" w:eastAsia="仿宋_GB2312"/>
        </w:rPr>
        <w:t>8、控股管理关系：提供直接控股和管理关系清单。若与其他供应商存在单位负责人为同一人或者存在直接控股、管理关系的，则投标无效。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产品授权：所投产品为进口产品的，（1）制造商参与投标：提供制造商声明函（格式自拟）；（2）代理商参与投标：须提供所投进口产品的制造商授权书或总代理商授权书（注：如提供总代理商授权书的须同时提供该总代理商具有有效授权权限的相关证明文件，证明文件须能显示产品制造商对所投产品授权链条的完整性）。国产产品不需要提供。</w:t>
      </w:r>
    </w:p>
    <w:p>
      <w:pPr>
        <w:pStyle w:val="null3"/>
      </w:pPr>
      <w:r>
        <w:rPr>
          <w:rFonts w:ascii="仿宋_GB2312" w:hAnsi="仿宋_GB2312" w:cs="仿宋_GB2312" w:eastAsia="仿宋_GB2312"/>
        </w:rPr>
        <w:t>11、本项目不接受联合体投标，不允许分包：供应商应提供《非联合体不分包投标声明》，视为独立投标，不分包。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61125884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凌辉建设工程咨询有限公司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西安市未央区太华北路甲字88号大明宫中央广场A座22层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高禧、黄沛、宋妍、陈新鹏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029-81010100-32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采购包1保证金金额：4,100.00元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开户名称：凌辉建设工程咨询有限公司</w:t>
            </w:r>
          </w:p>
          <w:p>
            <w:pPr>
              <w:pStyle w:val="null3"/>
            </w:pPr>
            <w:r>
              <w:rPr>
                <w:rFonts w:ascii="仿宋_GB2312" w:hAnsi="仿宋_GB2312" w:cs="仿宋_GB2312" w:eastAsia="仿宋_GB2312"/>
              </w:rPr>
              <w:t>开户银行：招商银行西安分行南大街支行</w:t>
            </w:r>
          </w:p>
          <w:p>
            <w:pPr>
              <w:pStyle w:val="null3"/>
            </w:pPr>
            <w:r>
              <w:rPr>
                <w:rFonts w:ascii="仿宋_GB2312" w:hAnsi="仿宋_GB2312" w:cs="仿宋_GB2312" w:eastAsia="仿宋_GB2312"/>
              </w:rPr>
              <w:t>银行账号：292083674310001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说明：投标人中标后凭中标通知书向采购人缴纳中标金额的5%作为履约保证金，采购人验收合格支付货款后，5%履约保证金无质量问题一次性无息退还。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代理服务费收费标准：80万以下项目招标代理服务费：5000.00元/项；80～400万项目参照国家计委颁发的《招标代理服务收费管理暂行办法》（计价格[2002]1980号）及（发改办价格[2011]534号）规定的70.00%计费。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凌辉建设工程咨询有限公司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凌辉建设工程咨询有限公司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凌辉建设工程咨询有限公司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详见招标文件及采购合同。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凌辉建设工程咨询有限公司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联系人：高禧、黄沛、宋妍、陈新鹏</w:t>
      </w:r>
    </w:p>
    <w:p>
      <w:pPr>
        <w:pStyle w:val="null3"/>
      </w:pPr>
      <w:r>
        <w:rPr>
          <w:rFonts w:ascii="仿宋_GB2312" w:hAnsi="仿宋_GB2312" w:cs="仿宋_GB2312" w:eastAsia="仿宋_GB2312"/>
        </w:rPr>
        <w:t>联系电话：029-81010100-32</w:t>
      </w:r>
    </w:p>
    <w:p>
      <w:pPr>
        <w:pStyle w:val="null3"/>
      </w:pPr>
      <w:r>
        <w:rPr>
          <w:rFonts w:ascii="仿宋_GB2312" w:hAnsi="仿宋_GB2312" w:cs="仿宋_GB2312" w:eastAsia="仿宋_GB2312"/>
        </w:rPr>
        <w:t>地址：西安市未央区大明宫中央广场A座22层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固态样品碳组分分析仪是土壤、地质、地矿等研究领域的一个重要设备，已广泛应用于各项土壤、植物、草业、地质等研究领域中，主要用于土壤、植物、固废、淤泥、沉积物等样品中总有机碳、总无机碳、总碳、元素碳、总氮等分析。一个样品一次进样同时得出TOC、ROC、TIC、TC、TN等多个指标，且样品不需要任何前处理。根据样品性质，选择最佳分析方法，且分析过程中氧气与氮气可根据方法设置进行载气切换，实现ROC与TIC的更有效分离。</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固体碳组分分析仪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标的名称：固体碳组分分析仪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48"/>
              <w:gridCol w:w="1811"/>
            </w:tblGrid>
            <w:tr>
              <w:tc>
                <w:tcPr>
                  <w:tcW w:type="dxa" w:w="4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货物名称</w:t>
                  </w:r>
                </w:p>
              </w:tc>
              <w:tc>
                <w:tcPr>
                  <w:tcW w:type="dxa" w:w="18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技术参数</w:t>
                  </w: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固体碳组分分析仪主机</w:t>
                  </w: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1.固体碳组分分析仪主机：</w:t>
                  </w:r>
                </w:p>
                <w:p>
                  <w:pPr>
                    <w:pStyle w:val="null3"/>
                    <w:jc w:val="both"/>
                  </w:pPr>
                  <w:r>
                    <w:rPr>
                      <w:rFonts w:ascii="仿宋_GB2312" w:hAnsi="仿宋_GB2312" w:cs="仿宋_GB2312" w:eastAsia="仿宋_GB2312"/>
                      <w:sz w:val="21"/>
                    </w:rPr>
                    <w:t>▲1.1可实现一个样品一次进样同时得出TOC、ROC、TIC、TC、TN等多个指标，且样品不需要任何酸化等方式的前处理；只需氮气、氧气两种气体，根据样品性质，选择最佳分析方法，且分析过程中氧气与氮气可根据方法设置进行载气切换，实现ROC与TIC的更有效分离（</w:t>
                  </w:r>
                  <w:r>
                    <w:rPr>
                      <w:rFonts w:ascii="仿宋_GB2312" w:hAnsi="仿宋_GB2312" w:cs="仿宋_GB2312" w:eastAsia="仿宋_GB2312"/>
                      <w:sz w:val="21"/>
                    </w:rPr>
                    <w:t>须提供国家认可的检测机构出具的检测报告，制造商检验报告，产品彩页，官网功能截图等任意一种证明材料</w:t>
                  </w:r>
                  <w:r>
                    <w:rPr>
                      <w:rFonts w:ascii="仿宋_GB2312" w:hAnsi="仿宋_GB2312" w:cs="仿宋_GB2312" w:eastAsia="仿宋_GB2312"/>
                      <w:sz w:val="21"/>
                    </w:rPr>
                    <w:t>加盖投标人公章</w:t>
                  </w:r>
                  <w:r>
                    <w:rPr>
                      <w:rFonts w:ascii="仿宋_GB2312" w:hAnsi="仿宋_GB2312" w:cs="仿宋_GB2312" w:eastAsia="仿宋_GB2312"/>
                      <w:sz w:val="21"/>
                    </w:rPr>
                    <w:t>予以佐证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1.2测量时间：整个温度梯度（TOC / ROC / TIC）包括TN,约25分钟。其中，选择恒温测试单个参数的时候，可根据元素含量和样品重量自优化分析时间，单样品单参数分析时间 ≤ 8分钟。</w:t>
                  </w:r>
                </w:p>
                <w:p>
                  <w:pPr>
                    <w:pStyle w:val="null3"/>
                    <w:jc w:val="both"/>
                  </w:pPr>
                  <w:r>
                    <w:rPr>
                      <w:rFonts w:ascii="仿宋_GB2312" w:hAnsi="仿宋_GB2312" w:cs="仿宋_GB2312" w:eastAsia="仿宋_GB2312"/>
                      <w:sz w:val="21"/>
                    </w:rPr>
                    <w:t>▲1.3操作模式：TOC/ROC/TIC, TOC/TIC, TOC/ROC, TOC, TIC, ROC, TN, TOC/ROC/TIC/TN（</w:t>
                  </w:r>
                  <w:r>
                    <w:rPr>
                      <w:rFonts w:ascii="仿宋_GB2312" w:hAnsi="仿宋_GB2312" w:cs="仿宋_GB2312" w:eastAsia="仿宋_GB2312"/>
                      <w:sz w:val="21"/>
                    </w:rPr>
                    <w:t>须提供国家认可的检测机构出具的检测报告，制造商检验报告，产品彩页，官网功能截图等任意一种证明材料</w:t>
                  </w:r>
                  <w:r>
                    <w:rPr>
                      <w:rFonts w:ascii="仿宋_GB2312" w:hAnsi="仿宋_GB2312" w:cs="仿宋_GB2312" w:eastAsia="仿宋_GB2312"/>
                      <w:sz w:val="21"/>
                    </w:rPr>
                    <w:t>加盖投标人公章</w:t>
                  </w:r>
                  <w:r>
                    <w:rPr>
                      <w:rFonts w:ascii="仿宋_GB2312" w:hAnsi="仿宋_GB2312" w:cs="仿宋_GB2312" w:eastAsia="仿宋_GB2312"/>
                      <w:sz w:val="21"/>
                    </w:rPr>
                    <w:t>予以佐证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1.4测量范围：有机碳TOC</w:t>
                  </w:r>
                  <w:r>
                    <w:rPr>
                      <w:rFonts w:ascii="仿宋_GB2312" w:hAnsi="仿宋_GB2312" w:cs="仿宋_GB2312" w:eastAsia="仿宋_GB2312"/>
                      <w:sz w:val="21"/>
                    </w:rPr>
                    <w:t>：</w:t>
                  </w:r>
                  <w:r>
                    <w:rPr>
                      <w:rFonts w:ascii="仿宋_GB2312" w:hAnsi="仿宋_GB2312" w:cs="仿宋_GB2312" w:eastAsia="仿宋_GB2312"/>
                      <w:sz w:val="21"/>
                    </w:rPr>
                    <w:t>0-50mg、无机碳IC: 0-50mg、总碳TC: 0-50mg、元素碳ROC: 0-50mg</w:t>
                  </w: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自动进样器</w:t>
                  </w: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2.自动进样器：</w:t>
                  </w:r>
                </w:p>
                <w:p>
                  <w:pPr>
                    <w:pStyle w:val="null3"/>
                    <w:jc w:val="both"/>
                  </w:pPr>
                  <w:r>
                    <w:rPr>
                      <w:rFonts w:ascii="仿宋_GB2312" w:hAnsi="仿宋_GB2312" w:cs="仿宋_GB2312" w:eastAsia="仿宋_GB2312"/>
                      <w:sz w:val="21"/>
                    </w:rPr>
                    <w:t>▲2.1非叠加</w:t>
                  </w:r>
                  <w:r>
                    <w:rPr>
                      <w:rFonts w:ascii="仿宋_GB2312" w:hAnsi="仿宋_GB2312" w:cs="仿宋_GB2312" w:eastAsia="仿宋_GB2312"/>
                      <w:sz w:val="21"/>
                    </w:rPr>
                    <w:t>样品盘，中央旋转插入式机械臂进样，</w:t>
                  </w:r>
                  <w:r>
                    <w:rPr>
                      <w:rFonts w:ascii="仿宋_GB2312" w:hAnsi="仿宋_GB2312" w:cs="仿宋_GB2312" w:eastAsia="仿宋_GB2312"/>
                      <w:sz w:val="21"/>
                    </w:rPr>
                    <w:t>进样器位数</w:t>
                  </w:r>
                  <w:r>
                    <w:rPr>
                      <w:rFonts w:ascii="仿宋_GB2312" w:hAnsi="仿宋_GB2312" w:cs="仿宋_GB2312" w:eastAsia="仿宋_GB2312"/>
                      <w:sz w:val="21"/>
                    </w:rPr>
                    <w:t>≥85位</w:t>
                  </w:r>
                  <w:r>
                    <w:rPr>
                      <w:rFonts w:ascii="仿宋_GB2312" w:hAnsi="仿宋_GB2312" w:cs="仿宋_GB2312" w:eastAsia="仿宋_GB2312"/>
                      <w:sz w:val="21"/>
                    </w:rPr>
                    <w:t>（</w:t>
                  </w:r>
                  <w:r>
                    <w:rPr>
                      <w:rFonts w:ascii="仿宋_GB2312" w:hAnsi="仿宋_GB2312" w:cs="仿宋_GB2312" w:eastAsia="仿宋_GB2312"/>
                      <w:sz w:val="21"/>
                    </w:rPr>
                    <w:t>须提供</w:t>
                  </w:r>
                  <w:r>
                    <w:rPr>
                      <w:rFonts w:ascii="仿宋_GB2312" w:hAnsi="仿宋_GB2312" w:cs="仿宋_GB2312" w:eastAsia="仿宋_GB2312"/>
                      <w:sz w:val="21"/>
                    </w:rPr>
                    <w:t>加盖投标人公章的</w:t>
                  </w:r>
                  <w:r>
                    <w:rPr>
                      <w:rFonts w:ascii="仿宋_GB2312" w:hAnsi="仿宋_GB2312" w:cs="仿宋_GB2312" w:eastAsia="仿宋_GB2312"/>
                      <w:sz w:val="21"/>
                    </w:rPr>
                    <w:t>进样器图片，体现进样器结构</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2.2坩埚材质：不锈钢坩埚，可重复利用；</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2.3清灰：</w:t>
                  </w:r>
                  <w:r>
                    <w:rPr>
                      <w:rFonts w:ascii="仿宋_GB2312" w:hAnsi="仿宋_GB2312" w:cs="仿宋_GB2312" w:eastAsia="仿宋_GB2312"/>
                      <w:sz w:val="21"/>
                    </w:rPr>
                    <w:t>进样机械臂自动除灰</w:t>
                  </w:r>
                  <w:r>
                    <w:rPr>
                      <w:rFonts w:ascii="仿宋_GB2312" w:hAnsi="仿宋_GB2312" w:cs="仿宋_GB2312" w:eastAsia="仿宋_GB2312"/>
                      <w:sz w:val="21"/>
                    </w:rPr>
                    <w:t>，仪器配置坩埚回收装置，机械臂可自动完成进样</w:t>
                  </w:r>
                  <w:r>
                    <w:rPr>
                      <w:rFonts w:ascii="仿宋_GB2312" w:hAnsi="仿宋_GB2312" w:cs="仿宋_GB2312" w:eastAsia="仿宋_GB2312"/>
                      <w:sz w:val="21"/>
                    </w:rPr>
                    <w:t>-测样-自动清灰-坩埚回收</w:t>
                  </w:r>
                  <w:r>
                    <w:rPr>
                      <w:rFonts w:ascii="仿宋_GB2312" w:hAnsi="仿宋_GB2312" w:cs="仿宋_GB2312" w:eastAsia="仿宋_GB2312"/>
                      <w:sz w:val="21"/>
                    </w:rPr>
                    <w:t>（</w:t>
                  </w:r>
                  <w:r>
                    <w:rPr>
                      <w:rFonts w:ascii="仿宋_GB2312" w:hAnsi="仿宋_GB2312" w:cs="仿宋_GB2312" w:eastAsia="仿宋_GB2312"/>
                      <w:sz w:val="21"/>
                    </w:rPr>
                    <w:t>须提供国家认可的检测机构出具的检测报告，制造商检验报告，产品彩页，官网功能截图等任意一种证明材料</w:t>
                  </w:r>
                  <w:r>
                    <w:rPr>
                      <w:rFonts w:ascii="仿宋_GB2312" w:hAnsi="仿宋_GB2312" w:cs="仿宋_GB2312" w:eastAsia="仿宋_GB2312"/>
                      <w:sz w:val="21"/>
                    </w:rPr>
                    <w:t>加盖投标人公章</w:t>
                  </w:r>
                  <w:r>
                    <w:rPr>
                      <w:rFonts w:ascii="仿宋_GB2312" w:hAnsi="仿宋_GB2312" w:cs="仿宋_GB2312" w:eastAsia="仿宋_GB2312"/>
                      <w:sz w:val="21"/>
                    </w:rPr>
                    <w:t>予以佐证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2.4进样量：0.1-3000mg。</w:t>
                  </w: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燃烧炉（包含动态加热炉</w:t>
                  </w:r>
                  <w:r>
                    <w:rPr>
                      <w:rFonts w:ascii="仿宋_GB2312" w:hAnsi="仿宋_GB2312" w:cs="仿宋_GB2312" w:eastAsia="仿宋_GB2312"/>
                      <w:sz w:val="21"/>
                      <w:b/>
                    </w:rPr>
                    <w:t>+恒温二级炉）</w:t>
                  </w: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 燃烧炉：</w:t>
                  </w:r>
                </w:p>
                <w:p>
                  <w:pPr>
                    <w:pStyle w:val="null3"/>
                    <w:jc w:val="both"/>
                  </w:pPr>
                  <w:r>
                    <w:rPr>
                      <w:rFonts w:ascii="仿宋_GB2312" w:hAnsi="仿宋_GB2312" w:cs="仿宋_GB2312" w:eastAsia="仿宋_GB2312"/>
                      <w:sz w:val="21"/>
                    </w:rPr>
                    <w:t>▲3.1双重高温炉设计，包含动态加热炉系统和恒温二级燃烧炉系统；</w:t>
                  </w:r>
                  <w:r>
                    <w:rPr>
                      <w:rFonts w:ascii="仿宋_GB2312" w:hAnsi="仿宋_GB2312" w:cs="仿宋_GB2312" w:eastAsia="仿宋_GB2312"/>
                      <w:sz w:val="21"/>
                    </w:rPr>
                    <w:t>容纳内径为</w:t>
                  </w:r>
                  <w:r>
                    <w:rPr>
                      <w:rFonts w:ascii="仿宋_GB2312" w:hAnsi="仿宋_GB2312" w:cs="仿宋_GB2312" w:eastAsia="仿宋_GB2312"/>
                      <w:sz w:val="21"/>
                    </w:rPr>
                    <w:t>≥28mm的石英反应管，催化剂：铂催化剂，催化剂填充一次可测试样品量不小于2500个（</w:t>
                  </w:r>
                  <w:r>
                    <w:rPr>
                      <w:rFonts w:ascii="仿宋_GB2312" w:hAnsi="仿宋_GB2312" w:cs="仿宋_GB2312" w:eastAsia="仿宋_GB2312"/>
                      <w:sz w:val="21"/>
                    </w:rPr>
                    <w:t>须提供国家认可的检测机构出具的检测报告，制造商检验报告，产品彩页，官网功能截图等任意一种证明材料</w:t>
                  </w:r>
                  <w:r>
                    <w:rPr>
                      <w:rFonts w:ascii="仿宋_GB2312" w:hAnsi="仿宋_GB2312" w:cs="仿宋_GB2312" w:eastAsia="仿宋_GB2312"/>
                      <w:sz w:val="21"/>
                    </w:rPr>
                    <w:t>加盖投标人公章</w:t>
                  </w:r>
                  <w:r>
                    <w:rPr>
                      <w:rFonts w:ascii="仿宋_GB2312" w:hAnsi="仿宋_GB2312" w:cs="仿宋_GB2312" w:eastAsia="仿宋_GB2312"/>
                      <w:sz w:val="21"/>
                    </w:rPr>
                    <w:t>予以佐证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3.2动态加热炉：可实现实现连续升温，可根据应用需求实现三阶梯度程序升温，自动测试TOC</w:t>
                  </w:r>
                  <w:r>
                    <w:rPr>
                      <w:rFonts w:ascii="仿宋_GB2312" w:hAnsi="仿宋_GB2312" w:cs="仿宋_GB2312" w:eastAsia="仿宋_GB2312"/>
                      <w:sz w:val="21"/>
                      <w:vertAlign w:val="subscript"/>
                    </w:rPr>
                    <w:t>400</w:t>
                  </w:r>
                  <w:r>
                    <w:rPr>
                      <w:rFonts w:ascii="仿宋_GB2312" w:hAnsi="仿宋_GB2312" w:cs="仿宋_GB2312" w:eastAsia="仿宋_GB2312"/>
                      <w:sz w:val="21"/>
                    </w:rPr>
                    <w:t>、</w:t>
                  </w:r>
                  <w:r>
                    <w:rPr>
                      <w:rFonts w:ascii="仿宋_GB2312" w:hAnsi="仿宋_GB2312" w:cs="仿宋_GB2312" w:eastAsia="仿宋_GB2312"/>
                      <w:sz w:val="21"/>
                    </w:rPr>
                    <w:t>ROC</w:t>
                  </w:r>
                  <w:r>
                    <w:rPr>
                      <w:rFonts w:ascii="仿宋_GB2312" w:hAnsi="仿宋_GB2312" w:cs="仿宋_GB2312" w:eastAsia="仿宋_GB2312"/>
                      <w:sz w:val="21"/>
                      <w:vertAlign w:val="subscript"/>
                    </w:rPr>
                    <w:t>600</w:t>
                  </w:r>
                  <w:r>
                    <w:rPr>
                      <w:rFonts w:ascii="仿宋_GB2312" w:hAnsi="仿宋_GB2312" w:cs="仿宋_GB2312" w:eastAsia="仿宋_GB2312"/>
                      <w:sz w:val="21"/>
                    </w:rPr>
                    <w:t>、</w:t>
                  </w:r>
                  <w:r>
                    <w:rPr>
                      <w:rFonts w:ascii="仿宋_GB2312" w:hAnsi="仿宋_GB2312" w:cs="仿宋_GB2312" w:eastAsia="仿宋_GB2312"/>
                      <w:sz w:val="21"/>
                    </w:rPr>
                    <w:t>TIC</w:t>
                  </w:r>
                  <w:r>
                    <w:rPr>
                      <w:rFonts w:ascii="仿宋_GB2312" w:hAnsi="仿宋_GB2312" w:cs="仿宋_GB2312" w:eastAsia="仿宋_GB2312"/>
                      <w:sz w:val="21"/>
                      <w:vertAlign w:val="subscript"/>
                    </w:rPr>
                    <w:t>900</w:t>
                  </w:r>
                  <w:r>
                    <w:rPr>
                      <w:rFonts w:ascii="仿宋_GB2312" w:hAnsi="仿宋_GB2312" w:cs="仿宋_GB2312" w:eastAsia="仿宋_GB2312"/>
                      <w:sz w:val="21"/>
                    </w:rPr>
                    <w:t>以及</w:t>
                  </w:r>
                  <w:r>
                    <w:rPr>
                      <w:rFonts w:ascii="仿宋_GB2312" w:hAnsi="仿宋_GB2312" w:cs="仿宋_GB2312" w:eastAsia="仿宋_GB2312"/>
                      <w:sz w:val="21"/>
                    </w:rPr>
                    <w:t>TC；可选配或者升级五阶升温程序。</w:t>
                  </w:r>
                </w:p>
                <w:p>
                  <w:pPr>
                    <w:pStyle w:val="null3"/>
                    <w:jc w:val="both"/>
                  </w:pPr>
                  <w:r>
                    <w:rPr>
                      <w:rFonts w:ascii="仿宋_GB2312" w:hAnsi="仿宋_GB2312" w:cs="仿宋_GB2312" w:eastAsia="仿宋_GB2312"/>
                      <w:sz w:val="21"/>
                    </w:rPr>
                    <w:t>3.3恒温二级炉：恒定温度下直接测试TOC,TIC,ROC；</w:t>
                  </w:r>
                </w:p>
                <w:p>
                  <w:pPr>
                    <w:pStyle w:val="null3"/>
                    <w:jc w:val="both"/>
                  </w:pPr>
                  <w:r>
                    <w:rPr>
                      <w:rFonts w:ascii="仿宋_GB2312" w:hAnsi="仿宋_GB2312" w:cs="仿宋_GB2312" w:eastAsia="仿宋_GB2312"/>
                      <w:sz w:val="21"/>
                    </w:rPr>
                    <w:t>3.3炉内配置冷却系统；</w:t>
                  </w:r>
                </w:p>
                <w:p>
                  <w:pPr>
                    <w:pStyle w:val="null3"/>
                    <w:jc w:val="both"/>
                  </w:pPr>
                  <w:r>
                    <w:rPr>
                      <w:rFonts w:ascii="仿宋_GB2312" w:hAnsi="仿宋_GB2312" w:cs="仿宋_GB2312" w:eastAsia="仿宋_GB2312"/>
                      <w:sz w:val="21"/>
                    </w:rPr>
                    <w:t>3.4燃烧炉工作温度≥850℃。</w:t>
                  </w: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检测器</w:t>
                  </w: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4.检测器：</w:t>
                  </w:r>
                </w:p>
                <w:p>
                  <w:pPr>
                    <w:pStyle w:val="null3"/>
                    <w:jc w:val="both"/>
                  </w:pPr>
                  <w:r>
                    <w:rPr>
                      <w:rFonts w:ascii="仿宋_GB2312" w:hAnsi="仿宋_GB2312" w:cs="仿宋_GB2312" w:eastAsia="仿宋_GB2312"/>
                      <w:sz w:val="21"/>
                    </w:rPr>
                    <w:t>▲4.1碳检测器采用宽范围高灵敏度非色散红外检测器；量程：0-50mg绝对碳(或0-100%)；LOD≤20μg 绝对碳；氮检测器采用电化学检测器。</w:t>
                  </w:r>
                  <w:r>
                    <w:rPr>
                      <w:rFonts w:ascii="仿宋_GB2312" w:hAnsi="仿宋_GB2312" w:cs="仿宋_GB2312" w:eastAsia="仿宋_GB2312"/>
                      <w:sz w:val="21"/>
                    </w:rPr>
                    <w:t>（须提供检测器量程的证明文件加盖投标人公章）</w:t>
                  </w:r>
                </w:p>
                <w:p>
                  <w:pPr>
                    <w:pStyle w:val="null3"/>
                    <w:jc w:val="both"/>
                  </w:pPr>
                  <w:r>
                    <w:rPr>
                      <w:rFonts w:ascii="仿宋_GB2312" w:hAnsi="仿宋_GB2312" w:cs="仿宋_GB2312" w:eastAsia="仿宋_GB2312"/>
                      <w:sz w:val="21"/>
                    </w:rPr>
                    <w:t>4.2检出限：≤30ppm；</w:t>
                  </w:r>
                </w:p>
                <w:p>
                  <w:pPr>
                    <w:pStyle w:val="null3"/>
                    <w:jc w:val="both"/>
                  </w:pPr>
                  <w:r>
                    <w:rPr>
                      <w:rFonts w:ascii="仿宋_GB2312" w:hAnsi="仿宋_GB2312" w:cs="仿宋_GB2312" w:eastAsia="仿宋_GB2312"/>
                      <w:sz w:val="21"/>
                    </w:rPr>
                    <w:t>▲4.3要求碳红外检测器质保10年</w:t>
                  </w:r>
                  <w:r>
                    <w:rPr>
                      <w:rFonts w:ascii="仿宋_GB2312" w:hAnsi="仿宋_GB2312" w:cs="仿宋_GB2312" w:eastAsia="仿宋_GB2312"/>
                      <w:sz w:val="21"/>
                    </w:rPr>
                    <w:t>（</w:t>
                  </w:r>
                  <w:r>
                    <w:rPr>
                      <w:rFonts w:ascii="仿宋_GB2312" w:hAnsi="仿宋_GB2312" w:cs="仿宋_GB2312" w:eastAsia="仿宋_GB2312"/>
                      <w:sz w:val="21"/>
                    </w:rPr>
                    <w:t>须提供</w:t>
                  </w:r>
                  <w:r>
                    <w:rPr>
                      <w:rFonts w:ascii="仿宋_GB2312" w:hAnsi="仿宋_GB2312" w:cs="仿宋_GB2312" w:eastAsia="仿宋_GB2312"/>
                      <w:sz w:val="21"/>
                    </w:rPr>
                    <w:t>承诺书加盖投标人公章</w:t>
                  </w:r>
                  <w:r>
                    <w:rPr>
                      <w:rFonts w:ascii="仿宋_GB2312" w:hAnsi="仿宋_GB2312" w:cs="仿宋_GB2312" w:eastAsia="仿宋_GB2312"/>
                      <w:sz w:val="21"/>
                    </w:rPr>
                    <w:t>予以佐证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4</w:t>
                  </w:r>
                  <w:r>
                    <w:rPr>
                      <w:rFonts w:ascii="仿宋_GB2312" w:hAnsi="仿宋_GB2312" w:cs="仿宋_GB2312" w:eastAsia="仿宋_GB2312"/>
                      <w:sz w:val="21"/>
                    </w:rPr>
                    <w:t>对样品燃烧产生的目标气体，实现无需分流，全部检测，确保结果的真实准确；</w:t>
                  </w:r>
                </w:p>
                <w:p>
                  <w:pPr>
                    <w:pStyle w:val="null3"/>
                  </w:pPr>
                  <w:r>
                    <w:rPr>
                      <w:rFonts w:ascii="仿宋_GB2312" w:hAnsi="仿宋_GB2312" w:cs="仿宋_GB2312" w:eastAsia="仿宋_GB2312"/>
                      <w:sz w:val="21"/>
                    </w:rPr>
                    <w:t>4.</w:t>
                  </w:r>
                  <w:r>
                    <w:rPr>
                      <w:rFonts w:ascii="仿宋_GB2312" w:hAnsi="仿宋_GB2312" w:cs="仿宋_GB2312" w:eastAsia="仿宋_GB2312"/>
                      <w:sz w:val="21"/>
                    </w:rPr>
                    <w:t>5</w:t>
                  </w:r>
                  <w:r>
                    <w:rPr>
                      <w:rFonts w:ascii="仿宋_GB2312" w:hAnsi="仿宋_GB2312" w:cs="仿宋_GB2312" w:eastAsia="仿宋_GB2312"/>
                      <w:sz w:val="21"/>
                    </w:rPr>
                    <w:t>测试精度：</w:t>
                  </w:r>
                  <w:r>
                    <w:rPr>
                      <w:rFonts w:ascii="仿宋_GB2312" w:hAnsi="仿宋_GB2312" w:cs="仿宋_GB2312" w:eastAsia="仿宋_GB2312"/>
                      <w:sz w:val="21"/>
                    </w:rPr>
                    <w:t>≤0.</w:t>
                  </w:r>
                  <w:r>
                    <w:rPr>
                      <w:rFonts w:ascii="仿宋_GB2312" w:hAnsi="仿宋_GB2312" w:cs="仿宋_GB2312" w:eastAsia="仿宋_GB2312"/>
                      <w:sz w:val="21"/>
                    </w:rPr>
                    <w:t>1</w:t>
                  </w:r>
                  <w:r>
                    <w:rPr>
                      <w:rFonts w:ascii="仿宋_GB2312" w:hAnsi="仿宋_GB2312" w:cs="仿宋_GB2312" w:eastAsia="仿宋_GB2312"/>
                      <w:sz w:val="21"/>
                    </w:rPr>
                    <w:t>% abs（100mg CaCO</w:t>
                  </w:r>
                  <w:r>
                    <w:rPr>
                      <w:rFonts w:ascii="仿宋_GB2312" w:hAnsi="仿宋_GB2312" w:cs="仿宋_GB2312" w:eastAsia="仿宋_GB2312"/>
                      <w:sz w:val="21"/>
                      <w:vertAlign w:val="subscript"/>
                    </w:rPr>
                    <w:t>3</w:t>
                  </w:r>
                  <w:r>
                    <w:rPr>
                      <w:rFonts w:ascii="仿宋_GB2312" w:hAnsi="仿宋_GB2312" w:cs="仿宋_GB2312" w:eastAsia="仿宋_GB2312"/>
                      <w:sz w:val="21"/>
                    </w:rPr>
                    <w:t>或标准土壤）。</w:t>
                  </w: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阶梯式程序升温软件</w:t>
                  </w: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5.阶梯式程序升温软件：</w:t>
                  </w:r>
                </w:p>
                <w:p>
                  <w:pPr>
                    <w:pStyle w:val="null3"/>
                    <w:jc w:val="both"/>
                  </w:pPr>
                  <w:r>
                    <w:rPr>
                      <w:rFonts w:ascii="仿宋_GB2312" w:hAnsi="仿宋_GB2312" w:cs="仿宋_GB2312" w:eastAsia="仿宋_GB2312"/>
                      <w:sz w:val="21"/>
                    </w:rPr>
                    <w:t>5.1用户可软件自定义设定动态加热炉升温速率；</w:t>
                  </w:r>
                </w:p>
                <w:p>
                  <w:pPr>
                    <w:pStyle w:val="null3"/>
                    <w:jc w:val="both"/>
                  </w:pPr>
                  <w:r>
                    <w:rPr>
                      <w:rFonts w:ascii="仿宋_GB2312" w:hAnsi="仿宋_GB2312" w:cs="仿宋_GB2312" w:eastAsia="仿宋_GB2312"/>
                      <w:sz w:val="21"/>
                    </w:rPr>
                    <w:t>▲5.2可根据应用需求实现三阶梯度程序升温，一次进样，自动测试TOC</w:t>
                  </w:r>
                  <w:r>
                    <w:rPr>
                      <w:rFonts w:ascii="仿宋_GB2312" w:hAnsi="仿宋_GB2312" w:cs="仿宋_GB2312" w:eastAsia="仿宋_GB2312"/>
                      <w:sz w:val="21"/>
                      <w:vertAlign w:val="subscript"/>
                    </w:rPr>
                    <w:t>400</w:t>
                  </w:r>
                  <w:r>
                    <w:rPr>
                      <w:rFonts w:ascii="仿宋_GB2312" w:hAnsi="仿宋_GB2312" w:cs="仿宋_GB2312" w:eastAsia="仿宋_GB2312"/>
                      <w:sz w:val="21"/>
                    </w:rPr>
                    <w:t>、</w:t>
                  </w:r>
                  <w:r>
                    <w:rPr>
                      <w:rFonts w:ascii="仿宋_GB2312" w:hAnsi="仿宋_GB2312" w:cs="仿宋_GB2312" w:eastAsia="仿宋_GB2312"/>
                      <w:sz w:val="21"/>
                    </w:rPr>
                    <w:t>ROC</w:t>
                  </w:r>
                  <w:r>
                    <w:rPr>
                      <w:rFonts w:ascii="仿宋_GB2312" w:hAnsi="仿宋_GB2312" w:cs="仿宋_GB2312" w:eastAsia="仿宋_GB2312"/>
                      <w:sz w:val="21"/>
                      <w:vertAlign w:val="subscript"/>
                    </w:rPr>
                    <w:t>600</w:t>
                  </w:r>
                  <w:r>
                    <w:rPr>
                      <w:rFonts w:ascii="仿宋_GB2312" w:hAnsi="仿宋_GB2312" w:cs="仿宋_GB2312" w:eastAsia="仿宋_GB2312"/>
                      <w:sz w:val="21"/>
                    </w:rPr>
                    <w:t>、</w:t>
                  </w:r>
                  <w:r>
                    <w:rPr>
                      <w:rFonts w:ascii="仿宋_GB2312" w:hAnsi="仿宋_GB2312" w:cs="仿宋_GB2312" w:eastAsia="仿宋_GB2312"/>
                      <w:sz w:val="21"/>
                    </w:rPr>
                    <w:t>TIC</w:t>
                  </w:r>
                  <w:r>
                    <w:rPr>
                      <w:rFonts w:ascii="仿宋_GB2312" w:hAnsi="仿宋_GB2312" w:cs="仿宋_GB2312" w:eastAsia="仿宋_GB2312"/>
                      <w:sz w:val="21"/>
                      <w:vertAlign w:val="subscript"/>
                    </w:rPr>
                    <w:t>900</w:t>
                  </w:r>
                  <w:r>
                    <w:rPr>
                      <w:rFonts w:ascii="仿宋_GB2312" w:hAnsi="仿宋_GB2312" w:cs="仿宋_GB2312" w:eastAsia="仿宋_GB2312"/>
                      <w:sz w:val="21"/>
                    </w:rPr>
                    <w:t>以及</w:t>
                  </w:r>
                  <w:r>
                    <w:rPr>
                      <w:rFonts w:ascii="仿宋_GB2312" w:hAnsi="仿宋_GB2312" w:cs="仿宋_GB2312" w:eastAsia="仿宋_GB2312"/>
                      <w:sz w:val="21"/>
                    </w:rPr>
                    <w:t>TC (需要提供软件界面截图，截图应包含分析数据，以及相关谱图</w:t>
                  </w:r>
                  <w:r>
                    <w:rPr>
                      <w:rFonts w:ascii="仿宋_GB2312" w:hAnsi="仿宋_GB2312" w:cs="仿宋_GB2312" w:eastAsia="仿宋_GB2312"/>
                      <w:sz w:val="21"/>
                    </w:rPr>
                    <w:t>加盖投标人公章</w:t>
                  </w:r>
                  <w:r>
                    <w:rPr>
                      <w:rFonts w:ascii="仿宋_GB2312" w:hAnsi="仿宋_GB2312" w:cs="仿宋_GB2312" w:eastAsia="仿宋_GB2312"/>
                      <w:sz w:val="21"/>
                    </w:rPr>
                    <w:t>予以佐证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5.3可在恒定温度下直接获得TOC、TC、ROC、TIC结果；</w:t>
                  </w:r>
                </w:p>
                <w:p>
                  <w:pPr>
                    <w:pStyle w:val="null3"/>
                    <w:jc w:val="both"/>
                  </w:pPr>
                  <w:r>
                    <w:rPr>
                      <w:rFonts w:ascii="仿宋_GB2312" w:hAnsi="仿宋_GB2312" w:cs="仿宋_GB2312" w:eastAsia="仿宋_GB2312"/>
                      <w:sz w:val="21"/>
                    </w:rPr>
                    <w:t>5.4软件可对单次分析进行数据计算、结果统计、图谱展示，无需将所有测试样品的图谱合并在一个页面；</w:t>
                  </w:r>
                </w:p>
                <w:p>
                  <w:pPr>
                    <w:pStyle w:val="null3"/>
                    <w:jc w:val="both"/>
                  </w:pPr>
                  <w:r>
                    <w:rPr>
                      <w:rFonts w:ascii="仿宋_GB2312" w:hAnsi="仿宋_GB2312" w:cs="仿宋_GB2312" w:eastAsia="仿宋_GB2312"/>
                      <w:sz w:val="21"/>
                    </w:rPr>
                    <w:t>5.5软件可对单次分析进行数据计算、结果统计、图谱展示，无需将所有测试样品的图谱合并在一个页面；可在仪器测样过程中随时查阅上一个测试样品的数据、统计结果及相关图谱。可输出结果报告（PDF, Excel等各种格式）、支持LIMS系统集成。支持多点校准、标准曲线拟合方式</w:t>
                  </w: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数据采集器</w:t>
                  </w: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6.数据采集器：匹配阶梯式程序升温软件需求。</w:t>
                  </w: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氧气</w:t>
                  </w: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7.氧气：</w:t>
                  </w:r>
                </w:p>
                <w:p>
                  <w:pPr>
                    <w:pStyle w:val="null3"/>
                    <w:jc w:val="both"/>
                  </w:pPr>
                  <w:r>
                    <w:rPr>
                      <w:rFonts w:ascii="仿宋_GB2312" w:hAnsi="仿宋_GB2312" w:cs="仿宋_GB2312" w:eastAsia="仿宋_GB2312"/>
                      <w:sz w:val="21"/>
                    </w:rPr>
                    <w:t>7.1高纯氧纯度：99.995%</w:t>
                  </w: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氮气</w:t>
                  </w: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8.氮气：</w:t>
                  </w:r>
                </w:p>
                <w:p>
                  <w:pPr>
                    <w:pStyle w:val="null3"/>
                    <w:jc w:val="both"/>
                  </w:pPr>
                  <w:r>
                    <w:rPr>
                      <w:rFonts w:ascii="仿宋_GB2312" w:hAnsi="仿宋_GB2312" w:cs="仿宋_GB2312" w:eastAsia="仿宋_GB2312"/>
                      <w:sz w:val="21"/>
                    </w:rPr>
                    <w:t>8.1高纯氧纯度：99.995%</w:t>
                  </w:r>
                </w:p>
              </w:tc>
            </w:tr>
            <w:tr>
              <w:tc>
                <w:tcPr>
                  <w:tcW w:type="dxa" w:w="4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高精度减压阀</w:t>
                  </w: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 .高精度减压阀：</w:t>
                  </w:r>
                </w:p>
                <w:p>
                  <w:pPr>
                    <w:pStyle w:val="null3"/>
                    <w:jc w:val="both"/>
                  </w:pPr>
                  <w:r>
                    <w:rPr>
                      <w:rFonts w:ascii="仿宋_GB2312" w:hAnsi="仿宋_GB2312" w:cs="仿宋_GB2312" w:eastAsia="仿宋_GB2312"/>
                      <w:sz w:val="21"/>
                    </w:rPr>
                    <w:t>9.1出口压力表最大示数为0.6Mpa</w:t>
                  </w:r>
                </w:p>
                <w:p>
                  <w:pPr>
                    <w:pStyle w:val="null3"/>
                    <w:jc w:val="both"/>
                  </w:pPr>
                  <w:r>
                    <w:rPr>
                      <w:rFonts w:ascii="仿宋_GB2312" w:hAnsi="仿宋_GB2312" w:cs="仿宋_GB2312" w:eastAsia="仿宋_GB2312"/>
                      <w:sz w:val="21"/>
                    </w:rPr>
                    <w:t>9.2出口接头可接6mm外径金属管的双卡套式接头</w:t>
                  </w:r>
                </w:p>
                <w:p>
                  <w:pPr>
                    <w:pStyle w:val="null3"/>
                    <w:jc w:val="both"/>
                  </w:pPr>
                  <w:r>
                    <w:rPr>
                      <w:rFonts w:ascii="仿宋_GB2312" w:hAnsi="仿宋_GB2312" w:cs="仿宋_GB2312" w:eastAsia="仿宋_GB2312"/>
                      <w:sz w:val="21"/>
                    </w:rPr>
                    <w:t>9.3氧气和氮气各一瓶</w:t>
                  </w:r>
                </w:p>
              </w:tc>
            </w:tr>
            <w:tr>
              <w:tc>
                <w:tcPr>
                  <w:tcW w:type="dxa" w:w="225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固体碳组分分析仪采购清单及产品数量：</w:t>
                  </w:r>
                </w:p>
                <w:p>
                  <w:pPr>
                    <w:pStyle w:val="null3"/>
                    <w:jc w:val="both"/>
                  </w:pPr>
                  <w:r>
                    <w:rPr>
                      <w:rFonts w:ascii="仿宋_GB2312" w:hAnsi="仿宋_GB2312" w:cs="仿宋_GB2312" w:eastAsia="仿宋_GB2312"/>
                      <w:sz w:val="21"/>
                    </w:rPr>
                    <w:t>固体碳组分分析仪主机：</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1"/>
                    </w:rPr>
                    <w:t>自动进样器：</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燃烧炉（包含动态加热炉</w:t>
                  </w:r>
                  <w:r>
                    <w:rPr>
                      <w:rFonts w:ascii="仿宋_GB2312" w:hAnsi="仿宋_GB2312" w:cs="仿宋_GB2312" w:eastAsia="仿宋_GB2312"/>
                      <w:sz w:val="21"/>
                    </w:rPr>
                    <w:t>+</w:t>
                  </w:r>
                  <w:r>
                    <w:rPr>
                      <w:rFonts w:ascii="仿宋_GB2312" w:hAnsi="仿宋_GB2312" w:cs="仿宋_GB2312" w:eastAsia="仿宋_GB2312"/>
                      <w:sz w:val="21"/>
                    </w:rPr>
                    <w:t>恒温二级炉）：</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检测器：</w:t>
                  </w:r>
                  <w:r>
                    <w:rPr>
                      <w:rFonts w:ascii="仿宋_GB2312" w:hAnsi="仿宋_GB2312" w:cs="仿宋_GB2312" w:eastAsia="仿宋_GB2312"/>
                      <w:sz w:val="21"/>
                    </w:rPr>
                    <w:t>1</w:t>
                  </w:r>
                  <w:r>
                    <w:rPr>
                      <w:rFonts w:ascii="仿宋_GB2312" w:hAnsi="仿宋_GB2312" w:cs="仿宋_GB2312" w:eastAsia="仿宋_GB2312"/>
                      <w:sz w:val="21"/>
                    </w:rPr>
                    <w:t>个</w:t>
                  </w:r>
                </w:p>
                <w:p>
                  <w:pPr>
                    <w:pStyle w:val="null3"/>
                    <w:jc w:val="both"/>
                  </w:pPr>
                  <w:r>
                    <w:rPr>
                      <w:rFonts w:ascii="仿宋_GB2312" w:hAnsi="仿宋_GB2312" w:cs="仿宋_GB2312" w:eastAsia="仿宋_GB2312"/>
                      <w:sz w:val="21"/>
                    </w:rPr>
                    <w:t>阶梯式程序升温软件：</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jc w:val="both"/>
                  </w:pPr>
                  <w:r>
                    <w:rPr>
                      <w:rFonts w:ascii="仿宋_GB2312" w:hAnsi="仿宋_GB2312" w:cs="仿宋_GB2312" w:eastAsia="仿宋_GB2312"/>
                      <w:sz w:val="21"/>
                    </w:rPr>
                    <w:t>数据采集器：</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jc w:val="both"/>
                  </w:pPr>
                  <w:r>
                    <w:rPr>
                      <w:rFonts w:ascii="仿宋_GB2312" w:hAnsi="仿宋_GB2312" w:cs="仿宋_GB2312" w:eastAsia="仿宋_GB2312"/>
                      <w:sz w:val="21"/>
                    </w:rPr>
                    <w:t>氧气：</w:t>
                  </w:r>
                  <w:r>
                    <w:rPr>
                      <w:rFonts w:ascii="仿宋_GB2312" w:hAnsi="仿宋_GB2312" w:cs="仿宋_GB2312" w:eastAsia="仿宋_GB2312"/>
                      <w:sz w:val="21"/>
                    </w:rPr>
                    <w:t>1</w:t>
                  </w:r>
                  <w:r>
                    <w:rPr>
                      <w:rFonts w:ascii="仿宋_GB2312" w:hAnsi="仿宋_GB2312" w:cs="仿宋_GB2312" w:eastAsia="仿宋_GB2312"/>
                      <w:sz w:val="21"/>
                    </w:rPr>
                    <w:t>瓶</w:t>
                  </w:r>
                  <w:r>
                    <w:rPr>
                      <w:rFonts w:ascii="仿宋_GB2312" w:hAnsi="仿宋_GB2312" w:cs="仿宋_GB2312" w:eastAsia="仿宋_GB2312"/>
                      <w:sz w:val="21"/>
                    </w:rPr>
                    <w:t>40L</w:t>
                  </w:r>
                </w:p>
                <w:p>
                  <w:pPr>
                    <w:pStyle w:val="null3"/>
                    <w:jc w:val="both"/>
                  </w:pPr>
                  <w:r>
                    <w:rPr>
                      <w:rFonts w:ascii="仿宋_GB2312" w:hAnsi="仿宋_GB2312" w:cs="仿宋_GB2312" w:eastAsia="仿宋_GB2312"/>
                      <w:sz w:val="21"/>
                    </w:rPr>
                    <w:t>氮气：</w:t>
                  </w:r>
                  <w:r>
                    <w:rPr>
                      <w:rFonts w:ascii="仿宋_GB2312" w:hAnsi="仿宋_GB2312" w:cs="仿宋_GB2312" w:eastAsia="仿宋_GB2312"/>
                      <w:sz w:val="21"/>
                    </w:rPr>
                    <w:t>1</w:t>
                  </w:r>
                  <w:r>
                    <w:rPr>
                      <w:rFonts w:ascii="仿宋_GB2312" w:hAnsi="仿宋_GB2312" w:cs="仿宋_GB2312" w:eastAsia="仿宋_GB2312"/>
                      <w:sz w:val="21"/>
                    </w:rPr>
                    <w:t>瓶</w:t>
                  </w:r>
                  <w:r>
                    <w:rPr>
                      <w:rFonts w:ascii="仿宋_GB2312" w:hAnsi="仿宋_GB2312" w:cs="仿宋_GB2312" w:eastAsia="仿宋_GB2312"/>
                      <w:sz w:val="21"/>
                    </w:rPr>
                    <w:t>40L</w:t>
                  </w:r>
                </w:p>
                <w:p>
                  <w:pPr>
                    <w:pStyle w:val="null3"/>
                    <w:jc w:val="both"/>
                  </w:pPr>
                  <w:r>
                    <w:rPr>
                      <w:rFonts w:ascii="仿宋_GB2312" w:hAnsi="仿宋_GB2312" w:cs="仿宋_GB2312" w:eastAsia="仿宋_GB2312"/>
                      <w:sz w:val="21"/>
                    </w:rPr>
                    <w:t>高精度减压阀：</w:t>
                  </w:r>
                  <w:r>
                    <w:rPr>
                      <w:rFonts w:ascii="仿宋_GB2312" w:hAnsi="仿宋_GB2312" w:cs="仿宋_GB2312" w:eastAsia="仿宋_GB2312"/>
                      <w:sz w:val="21"/>
                    </w:rPr>
                    <w:t>2</w:t>
                  </w:r>
                  <w:r>
                    <w:rPr>
                      <w:rFonts w:ascii="仿宋_GB2312" w:hAnsi="仿宋_GB2312" w:cs="仿宋_GB2312" w:eastAsia="仿宋_GB2312"/>
                      <w:sz w:val="21"/>
                    </w:rPr>
                    <w:t>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合同签订后，国产设备60个日历日完成供货、安装、调试，达到交付使用条件。进口设备90个日历日完成供货、安装、调试，达到交付使用条件。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因电子化制式限制，本项目支付约定详见3.5其他要求</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设备安装符合设备安装和学校要求 ③性能测试验收（关键指标实测） 连续运行48小时无故障；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 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1.质保期1 年。质保期自采购人在货物质量验收合格之日起计算。质保期内出现任何非人为故意损坏的质量问题，由中标人包换或包退，并承担调换或退货的全部费用。采购人报修后三日内投标人必须响应，否则将依据有关法律、法规进行追偿； 2.用料说明：各种用料符合国标，使用功能满足采购要求。 3.产品保修期（三包期）：自验收合格之日起1年。 产品保修期（三包期）内，修理、更换、退货要求 （1）质量标准：中标人的产品质量应当符合国家行业规定的标准，并无任何瑕疵；中标人应按配置清单要求提供原装产品，除人为因素损坏外，对该产品实行三包（即包修、包退、包换），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瑕疵责任：中标人提供产品应无任何瑕疵，符合国际、国内相关标准。如在使用过程中本产品存在隐蔽瑕疵造成医疗事故而引发的纠纷，由中标人全额负责赔偿，并为采购人修复瑕疵或更新换代，期间产生的费用均由中标人承担。 4.采购标的的专用工具、备品备件、安装调试及配套工程、质量保证、售后服务等要求。 ①专用工具及备件 专用工具：无； 备品备件：无。 ②安装调试要求 安装标准：符合设备安装运行标准以及学校要求； 调试周期：连续72小时无故障运行测试； 人员培训：质保期内，乙方提供现场操作培训，直至甲方指定人员能独立完成标准操作流程为止。 ③质量保证 质量追溯：提供原材料来源证明及质量检验报告； 货物要求：以采购人的要求为准，为采购人提供全新的货物（包括零部件）。 ④售后服务 即时响应（包括电话响应）；电话响应无法解决时， 48 小时内到达现场。修复时间 72 小时内；如 72 小时内无法修复，应提供相应解决方案。 定期维护：每季度提供预防性维护服务。 （4）中标供应商货物经过双方检验认可后，签署验收报告，产品保修期自验收合格之日起算，由中标供应商提供产品保修文件。 当满足以下条件时，采购人才向中标供应商签发货物验收报告： ①中标供应商已按照合同规定提供了全部产品及完整的技术资料。 ②货物符合招标文件和投标文件技术规格要求，性能满足要求。 ③货物具备产品合格证。</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如中标供应商在政府采购合同规定的交货日期内仍未能交货，则视为中标供应商不能交货，采购人有权解除政府采购合同，中标供应商除退还已收取的货款外，还应向采购人偿付政府采购合同总金额10%的违约金。 中标供应商所交付货物不符合其投标承诺，存在偷工减料、以次充好情形的，采购人要求更换一次后仍不符合约定的，采购人有权解除政府采购合同，没收履约保证金，并将有关情况上报政府采购监管部门处理。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因电子化字数限制，3.5其他要求详见附件。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提供递交投标文件截止时间前一年内已缴存任意一个月的依法缴纳税收的相关凭据，凭据应有税务机关或代收机关的公章或业务专用章。依法免税或无须缴纳税收的供应商，应提供相应证明文件。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信用中国（www.creditchina.gov.cn）未被列入重大税收违法失信主体、在中国执行信息公开网（http://zxgk.court.gov.cn/）未被列入失信被执行人及在中国政府采购网（www.ccgp.gov.cn）未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产品授权</w:t>
            </w:r>
          </w:p>
        </w:tc>
        <w:tc>
          <w:tcPr>
            <w:tcW w:type="dxa" w:w="3322"/>
          </w:tcPr>
          <w:p>
            <w:pPr>
              <w:pStyle w:val="null3"/>
            </w:pPr>
            <w:r>
              <w:rPr>
                <w:rFonts w:ascii="仿宋_GB2312" w:hAnsi="仿宋_GB2312" w:cs="仿宋_GB2312" w:eastAsia="仿宋_GB2312"/>
              </w:rPr>
              <w:t>所投产品为进口产品的，（1）制造商参与投标：提供制造商声明函（格式自拟）；（2）代理商参与投标：须提供所投进口产品的制造商授权书或总代理商授权书（注：如提供总代理商授权书的须同时提供该总代理商具有有效授权权限的相关证明文件，证明文件须能显示产品制造商对所投产品授权链条的完整性）。国产产品不需要提供。</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供应商应提供《非联合体不分包投标声明》，视为独立投标，不分包。</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按招标文件要求加盖了供应商公章和有法定代表人或其委托代理人签字或加盖人名章。</w:t>
            </w:r>
          </w:p>
        </w:tc>
        <w:tc>
          <w:tcPr>
            <w:tcW w:type="dxa" w:w="1661"/>
          </w:tcPr>
          <w:p>
            <w:pPr>
              <w:pStyle w:val="null3"/>
            </w:pPr>
            <w:r>
              <w:rPr>
                <w:rFonts w:ascii="仿宋_GB2312" w:hAnsi="仿宋_GB2312" w:cs="仿宋_GB2312" w:eastAsia="仿宋_GB2312"/>
              </w:rPr>
              <w:t>偏离表 开标一览表 响应分项报价表 投标函 中小企业声明函 残疾人福利性单位声明函 关于符合本国产品标准的声明函 供应商应提交的相关资格证明材料 陕西省政府采购供应商拒绝政府采购领域商业贿赂承诺书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遵循公平竞争的原则，没有弄虚作假、恶意串通或妨碍其他供应商的竞争行为，损害采购人或者其他供应商的合法权益；弄虚作假、相互串通的情形见附注</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投标人的投标报价高于最高限价的，其投标文件将按无效处理。</w:t>
            </w:r>
          </w:p>
        </w:tc>
        <w:tc>
          <w:tcPr>
            <w:tcW w:type="dxa" w:w="1661"/>
          </w:tcPr>
          <w:p>
            <w:pPr>
              <w:pStyle w:val="null3"/>
            </w:pPr>
            <w:r>
              <w:rPr>
                <w:rFonts w:ascii="仿宋_GB2312" w:hAnsi="仿宋_GB2312" w:cs="仿宋_GB2312" w:eastAsia="仿宋_GB2312"/>
              </w:rPr>
              <w:t>开标一览表 响应分项报价表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投标保证金缴纳凭证</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根据技术参数与性能指标响应情况打分，完全满足采购技术要求的，得满分；正偏离不加分；标记为“▲”为重要技术条款，每负偏离一项扣4分。普通参数负偏离一项扣1分，扣完为止。 以上标记为“▲”的须按技术参数要求提供证明材料予以佐证。 注：投标人自行承担因材料提供不全导致的技术参数评审风险，不提供或缺漏项不得分。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根据项目实际需求，提供完整详细的项目实施方案。内容包含①供货运输方案②安装验收方案③人员配备④应急预案。 二、评审标准 1、完整性：方案须全面，对评审内容中的各项要求有详细描述； 2、可实施性：切合本项目实际情况，实施步骤清晰、合理； 3、针对性：方案能够紧扣项目实际情况，内容科学合理。 三、赋分依据 ①供货运输方案：每完全满足一个评审标准得1分，满分3分； ②安装验收方案：每完全满足一个评审标准得1分，满分3分；③人员配备：每完全满足一个评审标准得1分，满分3分； ④应急预案：每完全满足一个评审标准得1分，满分3分。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投标人根据项目实际需求，提供质量保证方案。内容包含：①产品配置及货源渠道②使用寿命及效果③质量保证措施及产品质量应用支持保障措施。 二、评审标准 ①完整性：方案须全面，对评审内容中的各项要求有详细描述；②合理性：切合本项目实际情况，实施步骤清晰、合理； ③针对性：方案能够紧扣项目实际情况，内容科学合理。 三、赋分依据 ①产品配置及货源渠道：每完全满足一项评审标准得1分，满分3分； ②使用寿命及效果：每完全满足一项评审标准得1分，满分3分； ③质量保证措施及产品质量应用支持保障措施：每完全满足一项评审标准得1分，满分3分。 内容有缺陷扣0.5分，缺项或未提供得0分。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根据项目实际需求提供售后服务方案。内容包含①售后服务内容②售后服务保障措施③响应时间及方式④备品备件方案（包括但不限于供应时间、安装更换方式）。 二、评审标准 ①可实施性：切合本项目实际情况，方案全面、实施步骤清晰、计划合理； ②针对性：方案能够紧扣项目实际情况，内容科学合理； 三、赋分依据 ①售后服务内容：每完全满足一个评审标准得1分，满分2分； ②售后服务保障措施：每完全满足一个评审标准得1分，满分2分； ③响应时间及方式：每完全满足一个评审标准得1分，满分2分； ④备品备件方案：每完全满足一个评审标准得1分，满分2分。内容有缺陷扣0.5分，缺项或未提供得0分。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提供投标人2023年1月1日以来类似项目业绩（以合同签订日期为准），每份合格业绩合同计2分，满分6分。 备注：需提供业绩合同，并加盖投标人公章。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满足招标文件要求且投标价格最低的投标报价为评标基准价，其价格分为满分。其他供应商的价格分统一按照下列公式计算：投标报价得分=（评标基准价/投标报价）×价格权值 注：小微企业、监狱企业或残疾人福利性单位产品的价格给予10%的扣除后，再参与价格评审。对于本国产品给予20%的价格扣除，用扣除后的价格参与评审。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详见附件：偏离表</w:t>
      </w:r>
    </w:p>
    <w:p>
      <w:pPr>
        <w:pStyle w:val="null3"/>
        <w:ind w:firstLine="960"/>
      </w:pPr>
      <w:r>
        <w:rPr>
          <w:rFonts w:ascii="仿宋_GB2312" w:hAnsi="仿宋_GB2312" w:cs="仿宋_GB2312" w:eastAsia="仿宋_GB2312"/>
        </w:rPr>
        <w:t>详见附件：响应分项报价表</w:t>
      </w:r>
    </w:p>
    <w:p>
      <w:pPr>
        <w:pStyle w:val="null3"/>
        <w:ind w:firstLine="960"/>
      </w:pPr>
      <w:r>
        <w:rPr>
          <w:rFonts w:ascii="仿宋_GB2312" w:hAnsi="仿宋_GB2312" w:cs="仿宋_GB2312" w:eastAsia="仿宋_GB2312"/>
        </w:rPr>
        <w:t>详见附件：投标保证金缴纳凭证</w:t>
      </w:r>
    </w:p>
    <w:p>
      <w:pPr>
        <w:pStyle w:val="null3"/>
        <w:ind w:firstLine="960"/>
      </w:pPr>
      <w:r>
        <w:rPr>
          <w:rFonts w:ascii="仿宋_GB2312" w:hAnsi="仿宋_GB2312" w:cs="仿宋_GB2312" w:eastAsia="仿宋_GB2312"/>
        </w:rPr>
        <w:t>详见附件：响应方案说明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