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557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2"/>
        <w:gridCol w:w="7655"/>
      </w:tblGrid>
      <w:tr w14:paraId="22D1E6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87" w:type="dxa"/>
            <w:vAlign w:val="center"/>
          </w:tcPr>
          <w:p w14:paraId="679B7DCB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eastAsia="zh-Hans"/>
              </w:rPr>
              <w:t>货物名称</w:t>
            </w:r>
          </w:p>
        </w:tc>
        <w:tc>
          <w:tcPr>
            <w:tcW w:w="6791" w:type="dxa"/>
            <w:vAlign w:val="center"/>
          </w:tcPr>
          <w:p w14:paraId="2CDBA5D8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eastAsia="zh-Hans"/>
              </w:rPr>
              <w:t>技术参数</w:t>
            </w:r>
          </w:p>
        </w:tc>
      </w:tr>
      <w:tr w14:paraId="38177F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87" w:type="dxa"/>
            <w:vAlign w:val="center"/>
          </w:tcPr>
          <w:p w14:paraId="3D299F9B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  <w:t>固体碳组分分析仪主机</w:t>
            </w:r>
          </w:p>
        </w:tc>
        <w:tc>
          <w:tcPr>
            <w:tcW w:w="6791" w:type="dxa"/>
          </w:tcPr>
          <w:p w14:paraId="356ABA19">
            <w:pPr>
              <w:spacing w:line="276" w:lineRule="auto"/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1.固体碳组分分析仪主机：</w:t>
            </w:r>
          </w:p>
          <w:p w14:paraId="41573348"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  <w:t>▲1.1可实现一个样品一次进样同时得出TOC、ROC、TIC、TC、TN等多个指标，且样品不需要任何酸化等方式的前处理；只需氮气、氧气两种气体，根据样品性质，选择最佳分析方法，且分析过程中氧气与氮气可根据方法设置进行载气切换，实现ROC与TIC的更有效分离（</w:t>
            </w:r>
            <w:r>
              <w:rPr>
                <w:rFonts w:ascii="宋体" w:hAnsi="宋体" w:cs="宋体"/>
                <w:highlight w:val="none"/>
              </w:rPr>
              <w:t>须提供国家认可的检测机构出具的检测报告，制造商检验报告，产品彩页，官网功能截图等任意一种证明材料</w:t>
            </w: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加盖投标人公章</w:t>
            </w:r>
            <w:r>
              <w:rPr>
                <w:rFonts w:ascii="宋体" w:hAnsi="宋体" w:cs="宋体"/>
                <w:highlight w:val="none"/>
              </w:rPr>
              <w:t>予以佐证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  <w:t>）；</w:t>
            </w:r>
          </w:p>
          <w:p w14:paraId="59311950"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  <w:t xml:space="preserve">1.2测量时间：整个温度梯度（TOC / ROC / TIC）包括TN,约25分钟。其中，选择恒温测试单个参数的时候，可根据元素含量和样品重量自优化分析时间，单样品单参数分析时间 ≤ 8分钟。 </w:t>
            </w:r>
          </w:p>
          <w:p w14:paraId="55D355A6"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  <w:t>▲1.3操作模式：TOC/ROC/TIC, TOC/TIC, TOC/ROC, TOC, TIC, ROC, TN, TOC/ROC/TIC/TN（</w:t>
            </w:r>
            <w:r>
              <w:rPr>
                <w:rFonts w:ascii="宋体" w:hAnsi="宋体" w:cs="宋体"/>
                <w:highlight w:val="none"/>
              </w:rPr>
              <w:t>须提供国家认可的检测机构出具的检测报告，制造商检验报告，产品彩页，官网功能截图等任意一种证明材料</w:t>
            </w: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加盖投标人公章</w:t>
            </w:r>
            <w:r>
              <w:rPr>
                <w:rFonts w:ascii="宋体" w:hAnsi="宋体" w:cs="宋体"/>
                <w:highlight w:val="none"/>
              </w:rPr>
              <w:t>予以佐证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  <w:t>）；</w:t>
            </w:r>
          </w:p>
          <w:p w14:paraId="6D2752D0"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  <w:t>1.4测量范围：有机碳TOC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  <w:t>0-50mg、无机碳IC: 0-50mg、总碳TC: 0-50mg、元素碳ROC: 0-50mg</w:t>
            </w:r>
          </w:p>
        </w:tc>
      </w:tr>
      <w:tr w14:paraId="1644A9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87" w:type="dxa"/>
            <w:vAlign w:val="center"/>
          </w:tcPr>
          <w:p w14:paraId="61A3CB5D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  <w:t>自动进样器</w:t>
            </w:r>
          </w:p>
        </w:tc>
        <w:tc>
          <w:tcPr>
            <w:tcW w:w="6791" w:type="dxa"/>
          </w:tcPr>
          <w:p w14:paraId="229ABB52">
            <w:pPr>
              <w:spacing w:line="276" w:lineRule="auto"/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2.自动进样器：</w:t>
            </w:r>
          </w:p>
          <w:p w14:paraId="415FD8FE">
            <w:pPr>
              <w:spacing w:line="276" w:lineRule="auto"/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▲2.1非叠加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  <w:t>样品盘，中央旋转插入式机械臂进样，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进样器位数≥85位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  <w:t>（</w:t>
            </w:r>
            <w:r>
              <w:rPr>
                <w:rFonts w:hint="eastAsia" w:ascii="宋体" w:hAnsi="宋体" w:cs="宋体"/>
                <w:highlight w:val="none"/>
              </w:rPr>
              <w:t>须提供</w:t>
            </w: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加盖投标人公章的</w:t>
            </w:r>
            <w:r>
              <w:rPr>
                <w:rFonts w:hint="eastAsia" w:ascii="宋体" w:hAnsi="宋体" w:cs="宋体"/>
                <w:highlight w:val="none"/>
              </w:rPr>
              <w:t>进样器图片，体现进样器结构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  <w:t>）；</w:t>
            </w:r>
          </w:p>
          <w:p w14:paraId="67F2AB76">
            <w:pPr>
              <w:spacing w:line="276" w:lineRule="auto"/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2.2坩埚材质：不锈钢坩埚，可重复利用；</w:t>
            </w:r>
          </w:p>
          <w:p w14:paraId="4EBF4C2A"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▲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2.3清灰：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  <w:t>进样机械臂自动除灰</w:t>
            </w:r>
            <w:r>
              <w:rPr>
                <w:rFonts w:hint="eastAsia" w:asciiTheme="minorEastAsia" w:hAnsiTheme="minorEastAsia" w:eastAsiaTheme="minorEastAsia" w:cstheme="minorEastAsia"/>
                <w:highlight w:val="none"/>
              </w:rPr>
              <w:t>，仪器配置坩埚回收装置，机械臂可自动完成进样-测样-自动清灰-坩埚回收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  <w:t>（</w:t>
            </w:r>
            <w:r>
              <w:rPr>
                <w:rFonts w:ascii="宋体" w:hAnsi="宋体" w:cs="宋体"/>
                <w:highlight w:val="none"/>
              </w:rPr>
              <w:t>须提供国家认可的检测机构出具的检测报告，制造商检验报告，产品彩页，官网功能截图等任意一种证明材料</w:t>
            </w: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加盖投标人公章</w:t>
            </w:r>
            <w:r>
              <w:rPr>
                <w:rFonts w:ascii="宋体" w:hAnsi="宋体" w:cs="宋体"/>
                <w:highlight w:val="none"/>
              </w:rPr>
              <w:t>予以佐证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  <w:t>）；</w:t>
            </w:r>
          </w:p>
          <w:p w14:paraId="0FE197B9"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sz w:val="24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2.4进样量：0.1-3000mg。</w:t>
            </w:r>
          </w:p>
        </w:tc>
      </w:tr>
      <w:tr w14:paraId="2F0CF8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4" w:hRule="atLeast"/>
        </w:trPr>
        <w:tc>
          <w:tcPr>
            <w:tcW w:w="1687" w:type="dxa"/>
            <w:vAlign w:val="center"/>
          </w:tcPr>
          <w:p w14:paraId="03CB017F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  <w:t>燃烧炉（包含动态加热炉+恒温二级炉）</w:t>
            </w:r>
          </w:p>
        </w:tc>
        <w:tc>
          <w:tcPr>
            <w:tcW w:w="6791" w:type="dxa"/>
          </w:tcPr>
          <w:p w14:paraId="4F711044">
            <w:pPr>
              <w:spacing w:line="276" w:lineRule="auto"/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3. 燃烧炉：</w:t>
            </w:r>
          </w:p>
          <w:p w14:paraId="3F82585C">
            <w:pPr>
              <w:spacing w:line="276" w:lineRule="auto"/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▲3.1双重高温炉设计，包含动态加热炉系统和恒温二级燃烧炉系统；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  <w:t>容纳内径为≥28mm的石英反应管，催化剂：铂催化剂，催化剂填充一次可测试样品量不小于2500个（</w:t>
            </w:r>
            <w:r>
              <w:rPr>
                <w:rFonts w:ascii="宋体" w:hAnsi="宋体" w:cs="宋体"/>
                <w:highlight w:val="none"/>
              </w:rPr>
              <w:t>须提供国家认可的检测机构出具的检测报告，制造商检验报告，产品彩页，官网功能截图等任意一种证明材料</w:t>
            </w: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加盖投标人公章</w:t>
            </w:r>
            <w:r>
              <w:rPr>
                <w:rFonts w:ascii="宋体" w:hAnsi="宋体" w:cs="宋体"/>
                <w:highlight w:val="none"/>
              </w:rPr>
              <w:t>予以佐证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  <w:t>）；</w:t>
            </w:r>
          </w:p>
          <w:p w14:paraId="20FF7B47">
            <w:pPr>
              <w:spacing w:line="276" w:lineRule="auto"/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3.2动态加热炉：可实现实现连续升温，可根据应用需求实现三阶梯度程序升温，自动测试TOC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  <w:vertAlign w:val="subscript"/>
              </w:rPr>
              <w:t>400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、ROC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  <w:vertAlign w:val="subscript"/>
              </w:rPr>
              <w:t>600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、TIC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  <w:vertAlign w:val="subscript"/>
              </w:rPr>
              <w:t>900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以及TC；可选配或者升级五阶升温程序。</w:t>
            </w:r>
          </w:p>
          <w:p w14:paraId="24EC35DA">
            <w:pPr>
              <w:spacing w:line="276" w:lineRule="auto"/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3.3恒温二级炉：恒定温度下直接测试TOC,TIC,ROC；</w:t>
            </w:r>
          </w:p>
          <w:p w14:paraId="323A5C93">
            <w:pPr>
              <w:spacing w:line="276" w:lineRule="auto"/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3.3炉内配置冷却系统；</w:t>
            </w:r>
          </w:p>
          <w:p w14:paraId="50B8BB91"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3.4燃烧炉工作温度≥850℃。</w:t>
            </w:r>
          </w:p>
        </w:tc>
      </w:tr>
      <w:tr w14:paraId="31D9C3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87" w:type="dxa"/>
            <w:vAlign w:val="center"/>
          </w:tcPr>
          <w:p w14:paraId="29EC9E86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  <w:t>检测器</w:t>
            </w:r>
          </w:p>
        </w:tc>
        <w:tc>
          <w:tcPr>
            <w:tcW w:w="6791" w:type="dxa"/>
          </w:tcPr>
          <w:p w14:paraId="4DDFC667">
            <w:pPr>
              <w:spacing w:line="276" w:lineRule="auto"/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4.检测器：</w:t>
            </w:r>
          </w:p>
          <w:p w14:paraId="6D0A5849">
            <w:pPr>
              <w:spacing w:line="276" w:lineRule="auto"/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▲4.1碳检测器采用宽范围高灵敏度非色散红外检测器；量程：0-50mg绝对碳(或0-100%)；LOD≤20μg 绝对碳；氮检测器采用电化学检测器。</w:t>
            </w: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（须提供检测器量程的证明文件加盖投标人公章）</w:t>
            </w:r>
          </w:p>
          <w:p w14:paraId="797B8A19">
            <w:pPr>
              <w:spacing w:line="276" w:lineRule="auto"/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4.2检出限：≤30ppm；</w:t>
            </w:r>
          </w:p>
          <w:p w14:paraId="14E26AD4">
            <w:pPr>
              <w:spacing w:line="276" w:lineRule="auto"/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▲4.3要求碳红外检测器质保10年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  <w:t>（</w:t>
            </w:r>
            <w:r>
              <w:rPr>
                <w:rFonts w:ascii="宋体" w:hAnsi="宋体" w:cs="宋体"/>
                <w:highlight w:val="none"/>
              </w:rPr>
              <w:t>须提供</w:t>
            </w:r>
            <w:r>
              <w:rPr>
                <w:rFonts w:hint="eastAsia" w:ascii="宋体" w:hAnsi="宋体" w:cs="宋体"/>
                <w:highlight w:val="none"/>
              </w:rPr>
              <w:t>承诺书加盖投标人公章</w:t>
            </w:r>
            <w:r>
              <w:rPr>
                <w:rFonts w:ascii="宋体" w:hAnsi="宋体" w:cs="宋体"/>
                <w:highlight w:val="none"/>
              </w:rPr>
              <w:t>予以佐证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  <w:t>）；</w:t>
            </w:r>
          </w:p>
          <w:p w14:paraId="4ECB2A57">
            <w:pPr>
              <w:spacing w:line="276" w:lineRule="auto"/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4.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  <w:lang w:val="en-US" w:eastAsia="zh-CN"/>
              </w:rPr>
              <w:t>4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对样品燃烧产生的目标气体，实现无需分流，全部检测，确保结果的真实准确；</w:t>
            </w:r>
          </w:p>
          <w:p w14:paraId="1D2FE7F9">
            <w:pPr>
              <w:pStyle w:val="7"/>
              <w:rPr>
                <w:rFonts w:asciiTheme="minorEastAsia" w:hAnsiTheme="minorEastAsia" w:cstheme="minorEastAsia"/>
                <w:sz w:val="24"/>
                <w:highlight w:val="none"/>
              </w:rPr>
            </w:pPr>
            <w:r>
              <w:rPr>
                <w:rStyle w:val="5"/>
                <w:rFonts w:asciiTheme="minorEastAsia" w:hAnsiTheme="minorEastAsia" w:cstheme="minorEastAsia"/>
                <w:highlight w:val="none"/>
              </w:rPr>
              <w:t>4.</w:t>
            </w:r>
            <w:r>
              <w:rPr>
                <w:rStyle w:val="5"/>
                <w:rFonts w:hint="eastAsia" w:asciiTheme="minorEastAsia" w:hAnsiTheme="minorEastAsia" w:cstheme="minorEastAsia"/>
                <w:highlight w:val="none"/>
                <w:lang w:val="en-US" w:eastAsia="zh-CN"/>
              </w:rPr>
              <w:t>5</w:t>
            </w:r>
            <w:r>
              <w:rPr>
                <w:rStyle w:val="5"/>
                <w:rFonts w:asciiTheme="minorEastAsia" w:hAnsiTheme="minorEastAsia" w:cstheme="minorEastAsia"/>
                <w:highlight w:val="none"/>
              </w:rPr>
              <w:t>测试精度：≤0.</w:t>
            </w:r>
            <w:r>
              <w:rPr>
                <w:rStyle w:val="5"/>
                <w:rFonts w:asciiTheme="minorEastAsia" w:hAnsiTheme="minorEastAsia" w:cstheme="minorEastAsia"/>
                <w:highlight w:val="none"/>
                <w:lang w:eastAsia="zh-CN"/>
              </w:rPr>
              <w:t>1</w:t>
            </w:r>
            <w:r>
              <w:rPr>
                <w:rStyle w:val="5"/>
                <w:rFonts w:asciiTheme="minorEastAsia" w:hAnsiTheme="minorEastAsia" w:cstheme="minorEastAsia"/>
                <w:highlight w:val="none"/>
              </w:rPr>
              <w:t>% abs（100mg CaCO</w:t>
            </w:r>
            <w:r>
              <w:rPr>
                <w:rStyle w:val="5"/>
                <w:rFonts w:asciiTheme="minorEastAsia" w:hAnsiTheme="minorEastAsia" w:cstheme="minorEastAsia"/>
                <w:highlight w:val="none"/>
                <w:vertAlign w:val="subscript"/>
              </w:rPr>
              <w:t>3</w:t>
            </w:r>
            <w:r>
              <w:rPr>
                <w:rStyle w:val="5"/>
                <w:rFonts w:asciiTheme="minorEastAsia" w:hAnsiTheme="minorEastAsia" w:cstheme="minorEastAsia"/>
                <w:highlight w:val="none"/>
              </w:rPr>
              <w:t>或标准土壤）。</w:t>
            </w:r>
          </w:p>
        </w:tc>
      </w:tr>
      <w:tr w14:paraId="65356B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87" w:type="dxa"/>
            <w:vAlign w:val="center"/>
          </w:tcPr>
          <w:p w14:paraId="4E9416A0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  <w:t>阶梯式程序升温软件</w:t>
            </w:r>
          </w:p>
        </w:tc>
        <w:tc>
          <w:tcPr>
            <w:tcW w:w="6791" w:type="dxa"/>
          </w:tcPr>
          <w:p w14:paraId="039ACDF2">
            <w:pPr>
              <w:spacing w:line="276" w:lineRule="auto"/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5.阶梯式程序升温软件：</w:t>
            </w:r>
          </w:p>
          <w:p w14:paraId="4825C1D1">
            <w:pPr>
              <w:spacing w:line="276" w:lineRule="auto"/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5.1用户可软件自定义设定动态加热炉升温速率；</w:t>
            </w:r>
          </w:p>
          <w:p w14:paraId="2297AAF7">
            <w:pPr>
              <w:spacing w:line="276" w:lineRule="auto"/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▲5.2可根据应用需求实现三阶梯度程序升温，一次进样，自动测试TOC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  <w:vertAlign w:val="subscript"/>
              </w:rPr>
              <w:t>400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、ROC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  <w:vertAlign w:val="subscript"/>
              </w:rPr>
              <w:t>600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、TIC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  <w:vertAlign w:val="subscript"/>
              </w:rPr>
              <w:t>900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以及TC (需要提供软件界面截图，截图应包含分析数据，以及相关谱图</w:t>
            </w: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加盖投标人公章</w:t>
            </w:r>
            <w:r>
              <w:rPr>
                <w:rFonts w:ascii="宋体" w:hAnsi="宋体" w:cs="宋体"/>
                <w:highlight w:val="none"/>
              </w:rPr>
              <w:t>予以佐证</w:t>
            </w: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)；</w:t>
            </w:r>
          </w:p>
          <w:p w14:paraId="7FF0267E">
            <w:pPr>
              <w:spacing w:line="276" w:lineRule="auto"/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5.3可在恒定温度下直接获得TOC、TC、ROC、TIC结果；</w:t>
            </w:r>
          </w:p>
          <w:p w14:paraId="1DB23AB5">
            <w:pPr>
              <w:spacing w:line="276" w:lineRule="auto"/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5.4软件可对单次分析进行数据计算、结果统计、图谱展示，无需将所有测试样品的图谱合并在一个页面；</w:t>
            </w:r>
          </w:p>
          <w:p w14:paraId="33758C6C"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5.5软件可对单次分析进行数据计算、结果统计、图谱展示，无需将所有测试样品的图谱合并在一个页面；可在仪器测样过程中随时查阅上一个测试样品的数据、统计结果及相关图谱。可输出结果报告（PDF, Excel等各种格式）、支持LIMS系统集成。支持多点校准、标准曲线拟合方式</w:t>
            </w:r>
          </w:p>
        </w:tc>
      </w:tr>
      <w:tr w14:paraId="4D322D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87" w:type="dxa"/>
            <w:vAlign w:val="center"/>
          </w:tcPr>
          <w:p w14:paraId="670F51D3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  <w:t>数据采集器</w:t>
            </w:r>
          </w:p>
        </w:tc>
        <w:tc>
          <w:tcPr>
            <w:tcW w:w="6791" w:type="dxa"/>
          </w:tcPr>
          <w:p w14:paraId="3E381281"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6.数据采集器：匹配阶梯式程序升温软件需求。</w:t>
            </w:r>
          </w:p>
        </w:tc>
      </w:tr>
      <w:tr w14:paraId="558986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87" w:type="dxa"/>
            <w:vAlign w:val="center"/>
          </w:tcPr>
          <w:p w14:paraId="7715E43D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  <w:t>氧气</w:t>
            </w:r>
          </w:p>
        </w:tc>
        <w:tc>
          <w:tcPr>
            <w:tcW w:w="6791" w:type="dxa"/>
          </w:tcPr>
          <w:p w14:paraId="27660059">
            <w:pPr>
              <w:spacing w:line="276" w:lineRule="auto"/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7.氧气：</w:t>
            </w:r>
          </w:p>
          <w:p w14:paraId="29159A1F"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7.1高纯氧纯度：99.995%</w:t>
            </w:r>
          </w:p>
        </w:tc>
      </w:tr>
      <w:tr w14:paraId="519A8D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87" w:type="dxa"/>
            <w:vAlign w:val="center"/>
          </w:tcPr>
          <w:p w14:paraId="5A03395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  <w:t>氮气</w:t>
            </w:r>
          </w:p>
        </w:tc>
        <w:tc>
          <w:tcPr>
            <w:tcW w:w="6791" w:type="dxa"/>
          </w:tcPr>
          <w:p w14:paraId="5A7719F1">
            <w:pPr>
              <w:spacing w:line="276" w:lineRule="auto"/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8.氮气：</w:t>
            </w:r>
          </w:p>
          <w:p w14:paraId="37B367CF"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8.1高纯氧纯度：99.995%</w:t>
            </w:r>
          </w:p>
        </w:tc>
      </w:tr>
      <w:tr w14:paraId="202B3B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87" w:type="dxa"/>
            <w:vAlign w:val="center"/>
          </w:tcPr>
          <w:p w14:paraId="4E0AAC27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highlight w:val="none"/>
              </w:rPr>
              <w:t>高精度减压阀</w:t>
            </w:r>
          </w:p>
        </w:tc>
        <w:tc>
          <w:tcPr>
            <w:tcW w:w="6791" w:type="dxa"/>
          </w:tcPr>
          <w:p w14:paraId="6B1372F9">
            <w:pPr>
              <w:spacing w:line="276" w:lineRule="auto"/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9 .高精度减压阀：</w:t>
            </w:r>
          </w:p>
          <w:p w14:paraId="251A6CFB">
            <w:pPr>
              <w:spacing w:line="276" w:lineRule="auto"/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9.1出口压力表最大示数为0.6Mpa</w:t>
            </w:r>
          </w:p>
          <w:p w14:paraId="11D8CC4B">
            <w:pPr>
              <w:spacing w:line="276" w:lineRule="auto"/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9.2出口接头可接6mm外径金属管的双卡套式接头</w:t>
            </w:r>
          </w:p>
          <w:p w14:paraId="78DB3978">
            <w:pPr>
              <w:spacing w:line="276" w:lineRule="auto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  <w:r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  <w:t>9.3氧气和氮气各一瓶</w:t>
            </w:r>
          </w:p>
        </w:tc>
      </w:tr>
      <w:tr w14:paraId="3C2E77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78" w:type="dxa"/>
            <w:gridSpan w:val="2"/>
            <w:vAlign w:val="center"/>
          </w:tcPr>
          <w:p w14:paraId="2530A32A">
            <w:pPr>
              <w:spacing w:line="276" w:lineRule="auto"/>
              <w:rPr>
                <w:rStyle w:val="5"/>
                <w:highlight w:val="none"/>
              </w:rPr>
            </w:pPr>
            <w:r>
              <w:rPr>
                <w:rStyle w:val="5"/>
                <w:rFonts w:hint="eastAsia"/>
                <w:highlight w:val="none"/>
              </w:rPr>
              <w:t>固体碳组分分析仪采购清单及产品数量：</w:t>
            </w:r>
          </w:p>
          <w:p w14:paraId="3D6A7E04">
            <w:pPr>
              <w:spacing w:line="276" w:lineRule="auto"/>
              <w:rPr>
                <w:rStyle w:val="5"/>
                <w:highlight w:val="none"/>
              </w:rPr>
            </w:pPr>
            <w:r>
              <w:rPr>
                <w:rStyle w:val="5"/>
                <w:rFonts w:hint="eastAsia"/>
                <w:highlight w:val="none"/>
              </w:rPr>
              <w:t>固体碳组分分析仪主机：1台</w:t>
            </w:r>
          </w:p>
          <w:p w14:paraId="7C77C614">
            <w:pPr>
              <w:spacing w:line="276" w:lineRule="auto"/>
              <w:rPr>
                <w:rStyle w:val="5"/>
                <w:highlight w:val="none"/>
              </w:rPr>
            </w:pPr>
            <w:r>
              <w:rPr>
                <w:rStyle w:val="5"/>
                <w:rFonts w:hint="eastAsia"/>
                <w:highlight w:val="none"/>
              </w:rPr>
              <w:t>自动进样器：1套</w:t>
            </w:r>
          </w:p>
          <w:p w14:paraId="1549C109">
            <w:pPr>
              <w:spacing w:line="276" w:lineRule="auto"/>
              <w:rPr>
                <w:rStyle w:val="5"/>
                <w:highlight w:val="none"/>
              </w:rPr>
            </w:pPr>
            <w:r>
              <w:rPr>
                <w:rStyle w:val="5"/>
                <w:rFonts w:hint="eastAsia"/>
                <w:highlight w:val="none"/>
              </w:rPr>
              <w:t>燃烧炉（包含动态加热炉+恒温二级炉）：</w:t>
            </w:r>
            <w:r>
              <w:rPr>
                <w:rStyle w:val="5"/>
                <w:rFonts w:hint="eastAsia"/>
                <w:highlight w:val="none"/>
              </w:rPr>
              <w:tab/>
            </w:r>
            <w:r>
              <w:rPr>
                <w:rStyle w:val="5"/>
                <w:rFonts w:hint="eastAsia"/>
                <w:highlight w:val="none"/>
              </w:rPr>
              <w:t>1套</w:t>
            </w:r>
          </w:p>
          <w:p w14:paraId="4DB008BA">
            <w:pPr>
              <w:spacing w:line="276" w:lineRule="auto"/>
              <w:rPr>
                <w:rStyle w:val="5"/>
                <w:highlight w:val="none"/>
              </w:rPr>
            </w:pPr>
            <w:r>
              <w:rPr>
                <w:rStyle w:val="5"/>
                <w:rFonts w:hint="eastAsia"/>
                <w:highlight w:val="none"/>
              </w:rPr>
              <w:t>检测器：1个</w:t>
            </w:r>
          </w:p>
          <w:p w14:paraId="33DFAB51">
            <w:pPr>
              <w:spacing w:line="276" w:lineRule="auto"/>
              <w:rPr>
                <w:rStyle w:val="5"/>
                <w:highlight w:val="none"/>
              </w:rPr>
            </w:pPr>
            <w:r>
              <w:rPr>
                <w:rStyle w:val="5"/>
                <w:rFonts w:hint="eastAsia"/>
                <w:highlight w:val="none"/>
              </w:rPr>
              <w:t>阶梯式程序升温软件：1套</w:t>
            </w:r>
          </w:p>
          <w:p w14:paraId="6FFEC407">
            <w:pPr>
              <w:spacing w:line="276" w:lineRule="auto"/>
              <w:rPr>
                <w:rStyle w:val="5"/>
                <w:highlight w:val="none"/>
              </w:rPr>
            </w:pPr>
            <w:r>
              <w:rPr>
                <w:rStyle w:val="5"/>
                <w:rFonts w:hint="eastAsia"/>
                <w:highlight w:val="none"/>
              </w:rPr>
              <w:t>数据采集器：1台</w:t>
            </w:r>
          </w:p>
          <w:p w14:paraId="7A245D42">
            <w:pPr>
              <w:spacing w:line="276" w:lineRule="auto"/>
              <w:rPr>
                <w:rStyle w:val="5"/>
                <w:highlight w:val="none"/>
              </w:rPr>
            </w:pPr>
            <w:r>
              <w:rPr>
                <w:rStyle w:val="5"/>
                <w:rFonts w:hint="eastAsia"/>
                <w:highlight w:val="none"/>
              </w:rPr>
              <w:t>氧气：1瓶40L</w:t>
            </w:r>
          </w:p>
          <w:p w14:paraId="6D9DD208">
            <w:pPr>
              <w:spacing w:line="276" w:lineRule="auto"/>
              <w:rPr>
                <w:rStyle w:val="5"/>
                <w:highlight w:val="none"/>
              </w:rPr>
            </w:pPr>
            <w:r>
              <w:rPr>
                <w:rStyle w:val="5"/>
                <w:rFonts w:hint="eastAsia"/>
                <w:highlight w:val="none"/>
              </w:rPr>
              <w:t>氮气：1瓶40L</w:t>
            </w:r>
          </w:p>
          <w:p w14:paraId="3457101A">
            <w:pPr>
              <w:spacing w:line="276" w:lineRule="auto"/>
              <w:rPr>
                <w:rStyle w:val="5"/>
                <w:rFonts w:hint="eastAsia" w:asciiTheme="minorEastAsia" w:hAnsiTheme="minorEastAsia" w:eastAsiaTheme="minorEastAsia" w:cstheme="minorEastAsia"/>
                <w:highlight w:val="none"/>
              </w:rPr>
            </w:pPr>
            <w:r>
              <w:rPr>
                <w:rStyle w:val="5"/>
                <w:rFonts w:hint="eastAsia"/>
                <w:highlight w:val="none"/>
              </w:rPr>
              <w:t>高精度减压阀：2套</w:t>
            </w:r>
          </w:p>
        </w:tc>
      </w:tr>
    </w:tbl>
    <w:p w14:paraId="3536710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9D64D3"/>
    <w:rsid w:val="06511E5F"/>
    <w:rsid w:val="0DD31855"/>
    <w:rsid w:val="0FCD29BF"/>
    <w:rsid w:val="116A65C1"/>
    <w:rsid w:val="151224E2"/>
    <w:rsid w:val="1E9D64D3"/>
    <w:rsid w:val="25AE77EF"/>
    <w:rsid w:val="2BE71E27"/>
    <w:rsid w:val="2CD02D92"/>
    <w:rsid w:val="31176FE8"/>
    <w:rsid w:val="31420195"/>
    <w:rsid w:val="388F47DF"/>
    <w:rsid w:val="3CA559CB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annotation reference"/>
    <w:qFormat/>
    <w:uiPriority w:val="0"/>
    <w:rPr>
      <w:sz w:val="21"/>
      <w:szCs w:val="21"/>
    </w:rPr>
  </w:style>
  <w:style w:type="character" w:customStyle="1" w:styleId="6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2983</Words>
  <Characters>3321</Characters>
  <Lines>0</Lines>
  <Paragraphs>0</Paragraphs>
  <TotalTime>0</TotalTime>
  <ScaleCrop>false</ScaleCrop>
  <LinksUpToDate>false</LinksUpToDate>
  <CharactersWithSpaces>3341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2026-04-16T09:37:00Z</dcterms:created>
  <dc:creator>子夜</dc:creator>
  <cp:lastModifiedBy>子夜</cp:lastModifiedBy>
  <dcterms:modified xsi:type="dcterms:W3CDTF">2026-04-16T11:36:27Z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9FCE1EEFCFE14D82AF9A7C497049217C_11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