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版本号：GD-2026-00920260416001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陕西省国土绿化水资源论证项目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GD-2026-009</w:t>
      </w:r>
      <w:r>
        <w:br/>
      </w:r>
      <w:r>
        <w:br/>
      </w:r>
      <w:r>
        <w:br/>
      </w:r>
    </w:p>
    <w:p>
      <w:pPr>
        <w:pStyle w:val="null3"/>
        <w:jc w:val="center"/>
        <w:outlineLvl w:val="2"/>
      </w:pPr>
      <w:r>
        <w:rPr>
          <w:rFonts w:ascii="仿宋_GB2312" w:hAnsi="仿宋_GB2312" w:cs="仿宋_GB2312" w:eastAsia="仿宋_GB2312"/>
          <w:sz w:val="28"/>
          <w:b/>
        </w:rPr>
        <w:t>陕西省防护林建设工作站</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陕西省防护林建设工作站</w:t>
      </w:r>
      <w:r>
        <w:rPr>
          <w:rFonts w:ascii="仿宋_GB2312" w:hAnsi="仿宋_GB2312" w:cs="仿宋_GB2312" w:eastAsia="仿宋_GB2312"/>
        </w:rPr>
        <w:t>委托，拟对</w:t>
      </w:r>
      <w:r>
        <w:rPr>
          <w:rFonts w:ascii="仿宋_GB2312" w:hAnsi="仿宋_GB2312" w:cs="仿宋_GB2312" w:eastAsia="仿宋_GB2312"/>
        </w:rPr>
        <w:t>陕西省国土绿化水资源论证项目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GD-2026-009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陕西省国土绿化水资源论证项目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坚持水资源刚性约束、“四水四定”等制度要求，按照《规划水资源论证技术导则》（SL/T813-2021），分析《陕西省国土绿化规划》《陕西省荒漠化综合防治和黄河“几字弯”攻坚战行动方案》《陕西省防沙治沙规划（2021-2030年）》与相关规划、政策的相符性，与有关规划水资源开发利用方面的协调性；论证分析上述规划所在区域范围内水资源承载状况；科学、合理预测需水量；开展节水评价；确定取水水源，并进行可靠性分析，提出水资源配置方案；分析项目实施对水资源、水功能区、生态系统及其他用水户的影响，并提出水资源保护和管理措施，报告编制完成并通过审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1、法定代表人授权书：法定代表人参加磋商时，提供本人身份证；授权代表参加磋商时，提供法定代表人授权书和被授权人身份证；非法人单位参照执行。</w:t>
      </w:r>
    </w:p>
    <w:p>
      <w:pPr>
        <w:pStyle w:val="null3"/>
      </w:pPr>
      <w:r>
        <w:rPr>
          <w:rFonts w:ascii="仿宋_GB2312" w:hAnsi="仿宋_GB2312" w:cs="仿宋_GB2312" w:eastAsia="仿宋_GB2312"/>
        </w:rPr>
        <w:t>2、本项目不接受联合体磋商：本项目不允许联合体磋商。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陕西省防护林建设工作站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西安市西关正街233号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陕西省防护林建设工作站经办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029-88652267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代理服务费收费标准：参照国家计委计价格（2002）1980号文件规定标准，以预算金额为基数计算，由成交供应商支付代理服务费。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陕西省防护林建设工作站</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陕西省防护林建设工作站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陕西省防护林建设工作站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坚持水资源刚性约束、“四水四定”等制度要求，按照《规划水资源论证技术导则》（SL/T813-2021），分析《陕西省国土绿化规划》《陕西省荒漠化综合防治和黄河“几字弯”攻坚战行动方案》《陕西省防沙治沙规划（2021-2030年）》与相关规划、政策的相符性，与有关规划水资源开发利用方面的协调性；论证分析上述规划所在区域范围内水资源承载状况；科学、合理预测需水量；开展节水评价；确定取水水源，并进行可靠性分析，提出水资源配置方案；分析项目实施对水资源、水功能区、生态系统及其他用水户的影响，并提出水资源保护和管理措施，报告编制完成并通过审核。</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陕西省国土绿化水资源论证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标的名称：陕西省国土绿化水资源论证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30"/>
            </w:pPr>
            <w:r>
              <w:rPr>
                <w:rFonts w:ascii="仿宋_GB2312" w:hAnsi="仿宋_GB2312" w:cs="仿宋_GB2312" w:eastAsia="仿宋_GB2312"/>
                <w:sz w:val="21"/>
                <w:b/>
              </w:rPr>
              <w:t>一、项目概况</w:t>
            </w:r>
          </w:p>
          <w:p>
            <w:pPr>
              <w:pStyle w:val="null3"/>
              <w:spacing w:before="105" w:after="30"/>
              <w:ind w:firstLine="420"/>
            </w:pPr>
            <w:r>
              <w:rPr>
                <w:rFonts w:ascii="仿宋_GB2312" w:hAnsi="仿宋_GB2312" w:cs="仿宋_GB2312" w:eastAsia="仿宋_GB2312"/>
                <w:sz w:val="21"/>
              </w:rPr>
              <w:t>依据</w:t>
            </w:r>
            <w:r>
              <w:rPr>
                <w:rFonts w:ascii="仿宋_GB2312" w:hAnsi="仿宋_GB2312" w:cs="仿宋_GB2312" w:eastAsia="仿宋_GB2312"/>
                <w:sz w:val="21"/>
              </w:rPr>
              <w:t>规范开展水资源论证工作，全面分析项目取用水合理性、取水可靠性、水资源承载能力及退水影响，编制符合国家与地方技术标准的水资源论证报告书，满足项目取水许可审批与合规建设要求，保障水资源可持续利用。</w:t>
            </w:r>
          </w:p>
          <w:p>
            <w:pPr>
              <w:pStyle w:val="null3"/>
              <w:spacing w:before="105" w:after="30"/>
            </w:pPr>
            <w:r>
              <w:rPr>
                <w:rFonts w:ascii="仿宋_GB2312" w:hAnsi="仿宋_GB2312" w:cs="仿宋_GB2312" w:eastAsia="仿宋_GB2312"/>
                <w:sz w:val="21"/>
                <w:b/>
              </w:rPr>
              <w:t>二、技术要求</w:t>
            </w:r>
          </w:p>
          <w:p>
            <w:pPr>
              <w:pStyle w:val="null3"/>
              <w:spacing w:before="105" w:after="30"/>
              <w:ind w:firstLine="420"/>
            </w:pPr>
            <w:r>
              <w:rPr>
                <w:rFonts w:ascii="仿宋_GB2312" w:hAnsi="仿宋_GB2312" w:cs="仿宋_GB2312" w:eastAsia="仿宋_GB2312"/>
                <w:sz w:val="21"/>
              </w:rPr>
              <w:t>依据国家现行相关法律、法规及相关政策文件，按照《规划水资源论证技术导则》（</w:t>
            </w:r>
            <w:r>
              <w:rPr>
                <w:rFonts w:ascii="仿宋_GB2312" w:hAnsi="仿宋_GB2312" w:cs="仿宋_GB2312" w:eastAsia="仿宋_GB2312"/>
                <w:sz w:val="21"/>
              </w:rPr>
              <w:t>SL/T813-2021）要求编制《陕西省国土绿化规划》《陕西省荒漠化综合防治和黄河“几字弯”攻坚战行动方案》及《陕西省防沙治沙规划（</w:t>
            </w:r>
            <w:r>
              <w:rPr>
                <w:rFonts w:ascii="仿宋_GB2312" w:hAnsi="仿宋_GB2312" w:cs="仿宋_GB2312" w:eastAsia="仿宋_GB2312"/>
                <w:sz w:val="21"/>
              </w:rPr>
              <w:t>2021-2030年）</w:t>
            </w:r>
            <w:r>
              <w:rPr>
                <w:rFonts w:ascii="仿宋_GB2312" w:hAnsi="仿宋_GB2312" w:cs="仿宋_GB2312" w:eastAsia="仿宋_GB2312"/>
                <w:sz w:val="21"/>
              </w:rPr>
              <w:t>》</w:t>
            </w:r>
            <w:r>
              <w:rPr>
                <w:rFonts w:ascii="仿宋_GB2312" w:hAnsi="仿宋_GB2312" w:cs="仿宋_GB2312" w:eastAsia="仿宋_GB2312"/>
                <w:sz w:val="21"/>
              </w:rPr>
              <w:t>3个规划的水资源论证报告。</w:t>
            </w:r>
          </w:p>
          <w:p>
            <w:pPr>
              <w:pStyle w:val="null3"/>
              <w:spacing w:before="105" w:after="30"/>
            </w:pPr>
            <w:r>
              <w:rPr>
                <w:rFonts w:ascii="仿宋_GB2312" w:hAnsi="仿宋_GB2312" w:cs="仿宋_GB2312" w:eastAsia="仿宋_GB2312"/>
                <w:sz w:val="21"/>
                <w:b/>
              </w:rPr>
              <w:t>三、论证编制主要内容</w:t>
            </w:r>
          </w:p>
          <w:p>
            <w:pPr>
              <w:pStyle w:val="null3"/>
              <w:spacing w:before="105" w:after="30"/>
            </w:pPr>
            <w:r>
              <w:rPr>
                <w:rFonts w:ascii="仿宋_GB2312" w:hAnsi="仿宋_GB2312" w:cs="仿宋_GB2312" w:eastAsia="仿宋_GB2312"/>
                <w:sz w:val="21"/>
              </w:rPr>
              <w:t>（</w:t>
            </w:r>
            <w:r>
              <w:rPr>
                <w:rFonts w:ascii="仿宋_GB2312" w:hAnsi="仿宋_GB2312" w:cs="仿宋_GB2312" w:eastAsia="仿宋_GB2312"/>
                <w:sz w:val="21"/>
              </w:rPr>
              <w:t>1）总论</w:t>
            </w:r>
          </w:p>
          <w:p>
            <w:pPr>
              <w:pStyle w:val="null3"/>
              <w:spacing w:before="105" w:after="30"/>
              <w:ind w:firstLine="420"/>
            </w:pPr>
            <w:r>
              <w:rPr>
                <w:rFonts w:ascii="仿宋_GB2312" w:hAnsi="仿宋_GB2312" w:cs="仿宋_GB2312" w:eastAsia="仿宋_GB2312"/>
                <w:sz w:val="21"/>
              </w:rPr>
              <w:t>主要包括项目来源，论证目的、原则及任务</w:t>
            </w:r>
            <w:r>
              <w:rPr>
                <w:rFonts w:ascii="仿宋_GB2312" w:hAnsi="仿宋_GB2312" w:cs="仿宋_GB2312" w:eastAsia="仿宋_GB2312"/>
                <w:sz w:val="21"/>
              </w:rPr>
              <w:t>、</w:t>
            </w:r>
            <w:r>
              <w:rPr>
                <w:rFonts w:ascii="仿宋_GB2312" w:hAnsi="仿宋_GB2312" w:cs="仿宋_GB2312" w:eastAsia="仿宋_GB2312"/>
                <w:sz w:val="21"/>
              </w:rPr>
              <w:t>编制依据</w:t>
            </w:r>
            <w:r>
              <w:rPr>
                <w:rFonts w:ascii="仿宋_GB2312" w:hAnsi="仿宋_GB2312" w:cs="仿宋_GB2312" w:eastAsia="仿宋_GB2312"/>
                <w:sz w:val="21"/>
              </w:rPr>
              <w:t>、</w:t>
            </w:r>
            <w:r>
              <w:rPr>
                <w:rFonts w:ascii="仿宋_GB2312" w:hAnsi="仿宋_GB2312" w:cs="仿宋_GB2312" w:eastAsia="仿宋_GB2312"/>
                <w:sz w:val="21"/>
              </w:rPr>
              <w:t>论证范围等内容。</w:t>
            </w:r>
          </w:p>
          <w:p>
            <w:pPr>
              <w:pStyle w:val="null3"/>
              <w:spacing w:before="105" w:after="30"/>
            </w:pPr>
            <w:r>
              <w:rPr>
                <w:rFonts w:ascii="仿宋_GB2312" w:hAnsi="仿宋_GB2312" w:cs="仿宋_GB2312" w:eastAsia="仿宋_GB2312"/>
                <w:sz w:val="21"/>
              </w:rPr>
              <w:t>（</w:t>
            </w:r>
            <w:r>
              <w:rPr>
                <w:rFonts w:ascii="仿宋_GB2312" w:hAnsi="仿宋_GB2312" w:cs="仿宋_GB2312" w:eastAsia="仿宋_GB2312"/>
                <w:sz w:val="21"/>
              </w:rPr>
              <w:t>2）规划分析</w:t>
            </w:r>
          </w:p>
          <w:p>
            <w:pPr>
              <w:pStyle w:val="null3"/>
              <w:spacing w:before="105" w:after="30"/>
              <w:ind w:firstLine="420"/>
            </w:pPr>
            <w:r>
              <w:rPr>
                <w:rFonts w:ascii="仿宋_GB2312" w:hAnsi="仿宋_GB2312" w:cs="仿宋_GB2312" w:eastAsia="仿宋_GB2312"/>
                <w:sz w:val="21"/>
              </w:rPr>
              <w:t>主要包括规划背景、规划基本情况、规划提出得取用水方案、规划相符性与协调性分析等内容。</w:t>
            </w:r>
          </w:p>
          <w:p>
            <w:pPr>
              <w:pStyle w:val="null3"/>
              <w:spacing w:before="105" w:after="30"/>
            </w:pPr>
            <w:r>
              <w:rPr>
                <w:rFonts w:ascii="仿宋_GB2312" w:hAnsi="仿宋_GB2312" w:cs="仿宋_GB2312" w:eastAsia="仿宋_GB2312"/>
                <w:sz w:val="21"/>
              </w:rPr>
              <w:t>（</w:t>
            </w:r>
            <w:r>
              <w:rPr>
                <w:rFonts w:ascii="仿宋_GB2312" w:hAnsi="仿宋_GB2312" w:cs="仿宋_GB2312" w:eastAsia="仿宋_GB2312"/>
                <w:sz w:val="21"/>
              </w:rPr>
              <w:t>3）规划需水分析及节水评价</w:t>
            </w:r>
          </w:p>
          <w:p>
            <w:pPr>
              <w:pStyle w:val="null3"/>
              <w:spacing w:before="105" w:after="30"/>
              <w:ind w:firstLine="420"/>
            </w:pPr>
            <w:r>
              <w:rPr>
                <w:rFonts w:ascii="仿宋_GB2312" w:hAnsi="仿宋_GB2312" w:cs="仿宋_GB2312" w:eastAsia="仿宋_GB2312"/>
                <w:sz w:val="21"/>
              </w:rPr>
              <w:t>主要包括现状用水及节水潜力分析</w:t>
            </w:r>
            <w:r>
              <w:rPr>
                <w:rFonts w:ascii="仿宋_GB2312" w:hAnsi="仿宋_GB2312" w:cs="仿宋_GB2312" w:eastAsia="仿宋_GB2312"/>
                <w:sz w:val="21"/>
              </w:rPr>
              <w:t>、</w:t>
            </w:r>
            <w:r>
              <w:rPr>
                <w:rFonts w:ascii="仿宋_GB2312" w:hAnsi="仿宋_GB2312" w:cs="仿宋_GB2312" w:eastAsia="仿宋_GB2312"/>
                <w:sz w:val="21"/>
              </w:rPr>
              <w:t>规划需水量分析及合理性分析</w:t>
            </w:r>
            <w:r>
              <w:rPr>
                <w:rFonts w:ascii="仿宋_GB2312" w:hAnsi="仿宋_GB2312" w:cs="仿宋_GB2312" w:eastAsia="仿宋_GB2312"/>
                <w:sz w:val="21"/>
              </w:rPr>
              <w:t>、</w:t>
            </w:r>
            <w:r>
              <w:rPr>
                <w:rFonts w:ascii="仿宋_GB2312" w:hAnsi="仿宋_GB2312" w:cs="仿宋_GB2312" w:eastAsia="仿宋_GB2312"/>
                <w:sz w:val="21"/>
              </w:rPr>
              <w:t>节水评价等内容。</w:t>
            </w:r>
          </w:p>
          <w:p>
            <w:pPr>
              <w:pStyle w:val="null3"/>
              <w:spacing w:before="105" w:after="30"/>
            </w:pPr>
            <w:r>
              <w:rPr>
                <w:rFonts w:ascii="仿宋_GB2312" w:hAnsi="仿宋_GB2312" w:cs="仿宋_GB2312" w:eastAsia="仿宋_GB2312"/>
                <w:sz w:val="21"/>
              </w:rPr>
              <w:t>（</w:t>
            </w:r>
            <w:r>
              <w:rPr>
                <w:rFonts w:ascii="仿宋_GB2312" w:hAnsi="仿宋_GB2312" w:cs="仿宋_GB2312" w:eastAsia="仿宋_GB2312"/>
                <w:sz w:val="21"/>
              </w:rPr>
              <w:t>4）取水水源论证</w:t>
            </w:r>
          </w:p>
          <w:p>
            <w:pPr>
              <w:pStyle w:val="null3"/>
              <w:spacing w:before="105" w:after="30"/>
              <w:ind w:firstLine="420"/>
            </w:pPr>
            <w:r>
              <w:rPr>
                <w:rFonts w:ascii="仿宋_GB2312" w:hAnsi="仿宋_GB2312" w:cs="仿宋_GB2312" w:eastAsia="仿宋_GB2312"/>
                <w:sz w:val="21"/>
              </w:rPr>
              <w:t>主要包括论证范围内的水资源条件、开发利用潜力等，针对规划需水的特点，综合考虑其水量水质要求，合理选择取水水源等。</w:t>
            </w:r>
          </w:p>
          <w:p>
            <w:pPr>
              <w:pStyle w:val="null3"/>
              <w:spacing w:before="105" w:after="30"/>
            </w:pPr>
            <w:r>
              <w:rPr>
                <w:rFonts w:ascii="仿宋_GB2312" w:hAnsi="仿宋_GB2312" w:cs="仿宋_GB2312" w:eastAsia="仿宋_GB2312"/>
                <w:sz w:val="21"/>
              </w:rPr>
              <w:t>（</w:t>
            </w:r>
            <w:r>
              <w:rPr>
                <w:rFonts w:ascii="仿宋_GB2312" w:hAnsi="仿宋_GB2312" w:cs="仿宋_GB2312" w:eastAsia="仿宋_GB2312"/>
                <w:sz w:val="21"/>
              </w:rPr>
              <w:t>5）水资源配置论证</w:t>
            </w:r>
          </w:p>
          <w:p>
            <w:pPr>
              <w:pStyle w:val="null3"/>
              <w:spacing w:before="105" w:after="30"/>
              <w:ind w:firstLine="420"/>
            </w:pPr>
            <w:r>
              <w:rPr>
                <w:rFonts w:ascii="仿宋_GB2312" w:hAnsi="仿宋_GB2312" w:cs="仿宋_GB2312" w:eastAsia="仿宋_GB2312"/>
                <w:sz w:val="21"/>
              </w:rPr>
              <w:t>主要包括现状水资源配置情况、取水水源及可靠性分析、水资源配置方案论证等内容。</w:t>
            </w:r>
          </w:p>
          <w:p>
            <w:pPr>
              <w:pStyle w:val="null3"/>
              <w:spacing w:before="105" w:after="30"/>
            </w:pPr>
            <w:r>
              <w:rPr>
                <w:rFonts w:ascii="仿宋_GB2312" w:hAnsi="仿宋_GB2312" w:cs="仿宋_GB2312" w:eastAsia="仿宋_GB2312"/>
                <w:sz w:val="21"/>
              </w:rPr>
              <w:t>（</w:t>
            </w:r>
            <w:r>
              <w:rPr>
                <w:rFonts w:ascii="仿宋_GB2312" w:hAnsi="仿宋_GB2312" w:cs="仿宋_GB2312" w:eastAsia="仿宋_GB2312"/>
                <w:sz w:val="21"/>
              </w:rPr>
              <w:t>6）规划实施影响分析</w:t>
            </w:r>
          </w:p>
          <w:p>
            <w:pPr>
              <w:pStyle w:val="null3"/>
              <w:spacing w:before="105" w:after="30"/>
              <w:ind w:firstLine="420"/>
            </w:pPr>
            <w:r>
              <w:rPr>
                <w:rFonts w:ascii="仿宋_GB2312" w:hAnsi="仿宋_GB2312" w:cs="仿宋_GB2312" w:eastAsia="仿宋_GB2312"/>
                <w:sz w:val="21"/>
              </w:rPr>
              <w:t>主要包括取、退水影响分析及水资源保护和管理措施等内容。</w:t>
            </w:r>
          </w:p>
          <w:p>
            <w:pPr>
              <w:pStyle w:val="null3"/>
              <w:spacing w:before="105" w:after="30"/>
            </w:pPr>
            <w:r>
              <w:rPr>
                <w:rFonts w:ascii="仿宋_GB2312" w:hAnsi="仿宋_GB2312" w:cs="仿宋_GB2312" w:eastAsia="仿宋_GB2312"/>
                <w:sz w:val="21"/>
                <w:b/>
              </w:rPr>
              <w:t>四</w:t>
            </w:r>
            <w:r>
              <w:rPr>
                <w:rFonts w:ascii="仿宋_GB2312" w:hAnsi="仿宋_GB2312" w:cs="仿宋_GB2312" w:eastAsia="仿宋_GB2312"/>
                <w:sz w:val="21"/>
                <w:b/>
              </w:rPr>
              <w:t>、</w:t>
            </w:r>
            <w:r>
              <w:rPr>
                <w:rFonts w:ascii="仿宋_GB2312" w:hAnsi="仿宋_GB2312" w:cs="仿宋_GB2312" w:eastAsia="仿宋_GB2312"/>
                <w:sz w:val="21"/>
                <w:b/>
              </w:rPr>
              <w:t>规划</w:t>
            </w:r>
            <w:r>
              <w:rPr>
                <w:rFonts w:ascii="仿宋_GB2312" w:hAnsi="仿宋_GB2312" w:cs="仿宋_GB2312" w:eastAsia="仿宋_GB2312"/>
                <w:sz w:val="21"/>
                <w:b/>
              </w:rPr>
              <w:t>成果</w:t>
            </w:r>
          </w:p>
          <w:p>
            <w:pPr>
              <w:pStyle w:val="null3"/>
              <w:spacing w:before="105" w:after="30"/>
              <w:ind w:firstLine="420"/>
            </w:pPr>
            <w:r>
              <w:rPr>
                <w:rFonts w:ascii="仿宋_GB2312" w:hAnsi="仿宋_GB2312" w:cs="仿宋_GB2312" w:eastAsia="仿宋_GB2312"/>
                <w:sz w:val="21"/>
              </w:rPr>
              <w:t>《陕西省国土绿化规划水资源论证报告书》《陕西省荒漠化综合防治和黄河</w:t>
            </w:r>
            <w:r>
              <w:rPr>
                <w:rFonts w:ascii="仿宋_GB2312" w:hAnsi="仿宋_GB2312" w:cs="仿宋_GB2312" w:eastAsia="仿宋_GB2312"/>
                <w:sz w:val="21"/>
              </w:rPr>
              <w:t>“几字弯”攻坚战行动方案水资源论证报告书》《陕西省防沙治沙规划（</w:t>
            </w:r>
            <w:r>
              <w:rPr>
                <w:rFonts w:ascii="仿宋_GB2312" w:hAnsi="仿宋_GB2312" w:cs="仿宋_GB2312" w:eastAsia="仿宋_GB2312"/>
                <w:sz w:val="21"/>
              </w:rPr>
              <w:t>2021-2030年）</w:t>
            </w:r>
            <w:r>
              <w:rPr>
                <w:rFonts w:ascii="仿宋_GB2312" w:hAnsi="仿宋_GB2312" w:cs="仿宋_GB2312" w:eastAsia="仿宋_GB2312"/>
                <w:sz w:val="21"/>
              </w:rPr>
              <w:t>水资源论证报告书》。</w:t>
            </w:r>
          </w:p>
          <w:p>
            <w:pPr>
              <w:pStyle w:val="null3"/>
              <w:spacing w:before="105" w:after="30"/>
            </w:pPr>
            <w:r>
              <w:rPr>
                <w:rFonts w:ascii="仿宋_GB2312" w:hAnsi="仿宋_GB2312" w:cs="仿宋_GB2312" w:eastAsia="仿宋_GB2312"/>
                <w:sz w:val="21"/>
                <w:b/>
              </w:rPr>
              <w:t>五</w:t>
            </w:r>
            <w:r>
              <w:rPr>
                <w:rFonts w:ascii="仿宋_GB2312" w:hAnsi="仿宋_GB2312" w:cs="仿宋_GB2312" w:eastAsia="仿宋_GB2312"/>
                <w:sz w:val="21"/>
                <w:b/>
              </w:rPr>
              <w:t>、成果验收</w:t>
            </w:r>
          </w:p>
          <w:p>
            <w:pPr>
              <w:pStyle w:val="null3"/>
            </w:pPr>
            <w:r>
              <w:rPr>
                <w:rFonts w:ascii="仿宋_GB2312" w:hAnsi="仿宋_GB2312" w:cs="仿宋_GB2312" w:eastAsia="仿宋_GB2312"/>
                <w:sz w:val="21"/>
              </w:rPr>
              <w:t xml:space="preserve">  取得省水利厅组织的水资源论证报告书审查意见。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报告通过审查后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成交供应商在结果公示结束后2个工作日内向代理机构提供纸质版竞争性磋商响应文件，竞争性磋商响应文件三份。纸质竞争性磋商响应文件均须A4纸打印，分别各自装订成册并编制目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（2）具有良好的商业信誉和健全的财务会计制度的证明材料（须提供 2024年度或2025年度经第三方审计的财务报告，至少包括三表一注，即资产负债表、利润表、现金流量表及其附注 (成立时间至提交响应文件截止时间不足一年的可提供成立后任意时段的资产负债表) ；或其响应文件递交截止时间前三个月内基本存款账户开户银行出具的资信证明及开户银行许可证 (或开户行出具的基本户证明材料)；或信用担保机构出具的投标担保函。(以上三种形式的资料提供任何一种即可) （3）社会保障资金缴纳证明：提供截止至响应文件递交截止时间前六个月内任一个月份的社会保障资金缴存单据或社保机构开具的社会保险参保缴费情况证明，依法不需要缴纳社会保障资金的单位应提供相关证明材料。 （4）税收缴纳证明：提供截止至响应文件递交时间前六个月内任一个月份的纳税证明或完税证明，纳税证明或完税证明上应有代收机构或税务机关的公章或业务专用章。依法免税的供应商应提供相关文件证明。 （5）无重大违法记录声明：参加政府采购活动前三年内在经营活动中没有重大违法记录的书面声明。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法定代表人参加磋商时，提供本人身份证；授权代表参加磋商时，提供法定代表人授权书和被授权人身份证；非法人单位参照执行。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本项目不允许联合体磋商。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只能有一个有效报价、且不超过最高限价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服务内容及服务要求应答表.docx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无不符合法律法规或磋商文件规定的投标无效条款。</w:t>
            </w:r>
          </w:p>
        </w:tc>
        <w:tc>
          <w:tcPr>
            <w:tcW w:type="dxa" w:w="1661"/>
          </w:tcPr>
          <w:p>
            <w:pPr>
              <w:pStyle w:val="null3"/>
            </w:pPr>
            <w:r>
              <w:rPr>
                <w:rFonts w:ascii="仿宋_GB2312" w:hAnsi="仿宋_GB2312" w:cs="仿宋_GB2312" w:eastAsia="仿宋_GB2312"/>
              </w:rPr>
              <w:t>响应文件封面 服务内容及服务要求应答表.docx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规划方案及内容</w:t>
            </w:r>
          </w:p>
        </w:tc>
        <w:tc>
          <w:tcPr>
            <w:tcW w:type="dxa" w:w="2492"/>
          </w:tcPr>
          <w:p>
            <w:pPr>
              <w:pStyle w:val="null3"/>
            </w:pPr>
            <w:r>
              <w:rPr>
                <w:rFonts w:ascii="仿宋_GB2312" w:hAnsi="仿宋_GB2312" w:cs="仿宋_GB2312" w:eastAsia="仿宋_GB2312"/>
              </w:rPr>
              <w:t>1、对项目来源、论证目的、原则和任务、编制依据、论证范围的认知解读（满分3分）。 认知解读充分，得3分；较充分，得2分；不充分，得1分；缺项得0分。 2、规划评价（满分3分）。 分析清晰、准确，得3分；较清晰，得2分；不清晰，得1分；缺项得0分。 3、水资源承载状况分析（满分5分）。对区域水资源、开发利用程度及管控要求等分析符合实际得5分；分析较符合实际得3分；偏差较大得1分；缺项得0分。 4、规划需水分析（0-7分）。对需水预测方法科学、依据充分，预测成果合理对规划需水合理性论证充分，得5.1-7分；需水预测方法基本可行，成果基本合理，对规划需水合理性有一定论证，得3.1-5分；需水预测方法单一，成果可靠性差，对规划需水合理性论证不足，得1-3分；缺项得0分。 5、节水评价（满分3分）；明确节水评价范围清晰、系统完整，节水目标、指标、措施及潜力分析到位，与国家、地方及行业节水要求高度契合的，得3分；明确节水评价范围，提出了基本的节水目标与措施，基本符合相关节水要求，得2分；未开展系统节水评价，节水评价范围或节水目标、措施明显缺失，不符合节水管控要求得1分；缺项得0分。 6、水资源配置论证（0-7分）。取水水源选择及可靠性分析、配置方案科学合理，得5.1-7；取水水源选择及可靠性分析相对完善、配置方案合理，得3.1-5；水源选择及可靠性分析存在明显问题，配置方案不够合理，得1-3；缺项得0分。 7.规划实施影响分析（满分2分）。取退水影响分析及水资源管理与保护措施得2分；取、退水影响分析依据不足，缺乏有效防治与保护措施，不符合管控要求得1分；缺项得0分。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成果文件质量、安全及服务保证措施</w:t>
            </w:r>
          </w:p>
        </w:tc>
        <w:tc>
          <w:tcPr>
            <w:tcW w:type="dxa" w:w="2492"/>
          </w:tcPr>
          <w:p>
            <w:pPr>
              <w:pStyle w:val="null3"/>
            </w:pPr>
            <w:r>
              <w:rPr>
                <w:rFonts w:ascii="仿宋_GB2312" w:hAnsi="仿宋_GB2312" w:cs="仿宋_GB2312" w:eastAsia="仿宋_GB2312"/>
              </w:rPr>
              <w:t>质量、安全目标明确、体系健全、保证措施切实可行得15.1-20分，质量、安全目标基本明确、体系基本健全、保证措施基本可行得1-15分，缺项得0分。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进度计划满足要求，节点清晰，控制措施合理得3.1-5分；进度计划基本满足要求，节点基本清晰，控制措施基本合理得1-3分；缺项得0分。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制定的服务期限、服务内容、服务承诺是否满足要求，是否合理、全面。服务期限满足采购人要求、服务内容合理，服务承诺全面，得3.1-5分；服务期限基本满足采购人要求、服务内容一般，服务承诺一般，得1-3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拟派人员</w:t>
            </w:r>
          </w:p>
        </w:tc>
        <w:tc>
          <w:tcPr>
            <w:tcW w:type="dxa" w:w="2492"/>
          </w:tcPr>
          <w:p>
            <w:pPr>
              <w:pStyle w:val="null3"/>
            </w:pPr>
            <w:r>
              <w:rPr>
                <w:rFonts w:ascii="仿宋_GB2312" w:hAnsi="仿宋_GB2312" w:cs="仿宋_GB2312" w:eastAsia="仿宋_GB2312"/>
              </w:rPr>
              <w:t>1、项目负责人为水利工程相关专业高级工程师或以上职称得3分；水利工程相关专业中级职称得1分；缺项及低于中级职称得0分。 2、项目配套人员：水利工程相关专业高级职称及以上每提供1人得1分，最高6分，缺项得0分。 3、项目配套人员：具备水利工程相关专业中级职称同时具备注册土木工程师（水利水电工程）资格每提供1人得2分，最高得6分，缺项得0分。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拟派人员.docx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供应商提供2021年1月至今的同类型业绩（水资源论证或水利规划类业绩，以合同签订时间为准），每提供一份得2分，最高得10分，未提供得0分。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详见附件：拟派人员.docx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