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版本号：SZT2025-SN-SC-ZC-HW-105020260416001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经管学院设备采购项目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SZT2025-SN-SC-ZC-HW-1050</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经管学院设备采购项目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经管学院设备采购项目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采购包1：数字经济智能服务设备与数字人民币实践教学实验室：主要包括数字人民币实训模块、数字货币数据分析实训平台、区块链技术与应用平台等； 采购包2：旅游大数据分析实验室设备：包括文化产业管理大数据实验分析设备、文化产业创新创意实践设备、文化产业情景VR虚拟试验设备。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采购包1：853,000.00元</w:t>
            </w:r>
          </w:p>
          <w:p>
            <w:pPr>
              <w:pStyle w:val="null3"/>
            </w:pPr>
            <w:r>
              <w:rPr>
                <w:rFonts w:ascii="仿宋_GB2312" w:hAnsi="仿宋_GB2312" w:cs="仿宋_GB2312" w:eastAsia="仿宋_GB2312"/>
              </w:rPr>
              <w:t>采购包2：867,400.00元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开户名称：陕西中技招标有限公司（备注：（项目编号后四位数字）+投标保证金）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委托代理采购的采购包中标（成交）金额的百分之一(1%）收取。招标代理服务费收取标准设置下限和上限。不足人民币肆仟元整（￥4000.00）的，按人民币肆仟元整（￥4000.00）收取；超过人民币伍万元整（￥50000.00）的，按人民币伍万元整（￥50000.00）收取。此服务费应计入报价中，但不需要单独开列。 开户名称：陕西中技招标有限公司 开户行名称：招商银行西安分行营业部 账 号：1299 1681 2810 001 转账事由： （项目编号后四位+采购包号）招标代理服务费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品部署、授权和培训，提供第一季度的《巡检报告》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产品部署、授权和培训，提供第一季度的《巡检报告》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采购包1：数字经济智能服务设备与数字人民币实践教学实验室：主要包括数字人民币实训模块、数字货币数据分析实训平台、区块链技术与应用平台等； 采购包2：旅游大数据分析实验室设备：包括文化产业管理大数据实验分析设备、文化产业创新创意实践设备、文化产业情景VR虚拟试验设备。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853,000.00</w:t>
      </w:r>
    </w:p>
    <w:p>
      <w:pPr>
        <w:pStyle w:val="null3"/>
      </w:pPr>
      <w:r>
        <w:rPr>
          <w:rFonts w:ascii="仿宋_GB2312" w:hAnsi="仿宋_GB2312" w:cs="仿宋_GB2312" w:eastAsia="仿宋_GB2312"/>
        </w:rPr>
        <w:t>采购包最高限价（元）: 853,000.00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数字人民币实训模块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数字货币数据分析实训平台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区块链技术与应用平台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wind 数据模块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学生机配件1</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right"/>
            </w:pPr>
            <w:r>
              <w:rPr>
                <w:rFonts w:ascii="仿宋_GB2312" w:hAnsi="仿宋_GB2312" w:cs="仿宋_GB2312" w:eastAsia="仿宋_GB2312"/>
              </w:rPr>
              <w:t>28,000.00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学生机配件2</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right"/>
            </w:pPr>
            <w:r>
              <w:rPr>
                <w:rFonts w:ascii="仿宋_GB2312" w:hAnsi="仿宋_GB2312" w:cs="仿宋_GB2312" w:eastAsia="仿宋_GB2312"/>
              </w:rPr>
              <w:t>24,500.00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教师机配件1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教师机配件2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867,400.00</w:t>
      </w:r>
    </w:p>
    <w:p>
      <w:pPr>
        <w:pStyle w:val="null3"/>
      </w:pPr>
      <w:r>
        <w:rPr>
          <w:rFonts w:ascii="仿宋_GB2312" w:hAnsi="仿宋_GB2312" w:cs="仿宋_GB2312" w:eastAsia="仿宋_GB2312"/>
        </w:rPr>
        <w:t>采购包最高限价（元）: 867,400.00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数智化展示设备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音频传输设备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教师讲课用具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学生实习用具</w:t>
            </w:r>
          </w:p>
        </w:tc>
        <w:tc>
          <w:tcPr>
            <w:tcW w:type="dxa" w:w="831"/>
          </w:tcPr>
          <w:p>
            <w:pPr>
              <w:pStyle w:val="null3"/>
              <w:jc w:val="right"/>
            </w:pPr>
            <w:r>
              <w:rPr>
                <w:rFonts w:ascii="仿宋_GB2312" w:hAnsi="仿宋_GB2312" w:cs="仿宋_GB2312" w:eastAsia="仿宋_GB2312"/>
              </w:rPr>
              <w:t>40.00</w:t>
            </w:r>
          </w:p>
        </w:tc>
        <w:tc>
          <w:tcPr>
            <w:tcW w:type="dxa" w:w="831"/>
          </w:tcPr>
          <w:p>
            <w:pPr>
              <w:pStyle w:val="null3"/>
              <w:jc w:val="right"/>
            </w:pPr>
            <w:r>
              <w:rPr>
                <w:rFonts w:ascii="仿宋_GB2312" w:hAnsi="仿宋_GB2312" w:cs="仿宋_GB2312" w:eastAsia="仿宋_GB2312"/>
              </w:rPr>
              <w:t>8,400.00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直播工作站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直播设备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网络交互传输设备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文化产业管理大数据实验分析系统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文化产业创新创意实践系统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VR展示</w:t>
            </w:r>
          </w:p>
        </w:tc>
        <w:tc>
          <w:tcPr>
            <w:tcW w:type="dxa" w:w="831"/>
          </w:tcPr>
          <w:p>
            <w:pPr>
              <w:pStyle w:val="null3"/>
              <w:jc w:val="right"/>
            </w:pPr>
            <w:r>
              <w:rPr>
                <w:rFonts w:ascii="仿宋_GB2312" w:hAnsi="仿宋_GB2312" w:cs="仿宋_GB2312" w:eastAsia="仿宋_GB2312"/>
              </w:rPr>
              <w:t>40.00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全息投影展示屏</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全息投影工作站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全息投影显示单元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中国旅游文化全息数字教学资源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文化产业情景VR虚拟实验平台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展柜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标的名称：数字人民币实训模块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一、数字人民币实训模块</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sz w:val="24"/>
              </w:rPr>
              <w:t>数字人民币全链路虚拟仿真不少于五个模块：中国人民银行生成数字货币实验模块、中国人民银行发行数字货币实验模块、开通数字货币钱包实验模块、用户兑换数字货币实验模块、用户支付数字货币实验模块。</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中国人民银行生成数字货币实验模块：</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须提供产品检测报告或系统功能截图佐证此项技术参数，并加盖供应商公章</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1）具</w:t>
            </w:r>
            <w:r>
              <w:rPr>
                <w:rFonts w:ascii="仿宋_GB2312" w:hAnsi="仿宋_GB2312" w:cs="仿宋_GB2312" w:eastAsia="仿宋_GB2312"/>
                <w:sz w:val="24"/>
              </w:rPr>
              <w:t>有生成投放机构标识实验内容：商业银行端查看第二公私钥、商业银行端通过国密算法生成机构标识、</w:t>
            </w:r>
            <w:r>
              <w:rPr>
                <w:rFonts w:ascii="仿宋_GB2312" w:hAnsi="仿宋_GB2312" w:cs="仿宋_GB2312" w:eastAsia="仿宋_GB2312"/>
                <w:sz w:val="24"/>
              </w:rPr>
              <w:t>央行端使用第一私钥进行签名确认。（</w:t>
            </w:r>
            <w:r>
              <w:rPr>
                <w:rFonts w:ascii="仿宋_GB2312" w:hAnsi="仿宋_GB2312" w:cs="仿宋_GB2312" w:eastAsia="仿宋_GB2312"/>
                <w:sz w:val="24"/>
              </w:rPr>
              <w:t>2）具有生成发起货币生成请求实验内容：商业银行端输入货币金额、选择投放系统标识并获取时间戳、发送至央行端。（3）具有验证货币生成请求实验内容：央行端查看商业银行申请额度和可用额度、进行验证、使用第一私钥进行签名确认。（4）具有生成交易信息实验内容：使用交易金额和投放机构标识及时间戳、使用国密算法生成交易信息标识。（5）具有生成额度控制位请求实验内容：商业银行端根据金额构造请求报文、根据货币投放系统标识/交易金额和信息生成签名前额度控制位请求、使用第二私钥进行数字签名、生成额度控制位请求。（6）具有验证发送额度控制位请求实验内容：中央银行端接收到货币投放系统（银行端）的额度控制位请求、对额度控制位请求的内容通过国密算法得到H1、使用货币投放系统公钥对加密的签名进行解密、解密后得到H2并对比H1与H2是否一致。（7）具有生成额度控制系统签名信息实验内容：在银行额度控制系统查看交易金额、投放机构标识和交易信息标识、点击国密算法生成摘要、进入央行额度控制系统复制第一私钥对生成的摘要进行签名即生成额度控制系统签名信息。（8）具有生成额度控制位和数字签名实验内容：商业银行根据金额/货币投放系统信息/交易信息标识通过国密生成静态段、通过随机数和时间戳生成动态段、将静态段/动态段与央行签名段拼接后生成额度控制位、生成后使用第二私钥进行数字签名。（9）具有生成数字人民币实验内容：根据额度控制位签名信息（银行端）/额度控制系统签名信息（央行端），填写生成数字人民币的账户和第二私钥，生成数字人民币。</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中国人民银行发行数字货币实验模块：</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1）具有发送数字货币发行</w:t>
            </w:r>
            <w:r>
              <w:rPr>
                <w:rFonts w:ascii="仿宋_GB2312" w:hAnsi="仿宋_GB2312" w:cs="仿宋_GB2312" w:eastAsia="仿宋_GB2312"/>
                <w:sz w:val="24"/>
              </w:rPr>
              <w:t>请求实验内容：查看货币需求信息并在银行前置机填写数字货币发行申请生成数字货币发行计划、将数字货币发行计划签名后发送至中央银行数字货币管理系统。（</w:t>
            </w:r>
            <w:r>
              <w:rPr>
                <w:rFonts w:ascii="仿宋_GB2312" w:hAnsi="仿宋_GB2312" w:cs="仿宋_GB2312" w:eastAsia="仿宋_GB2312"/>
                <w:sz w:val="24"/>
              </w:rPr>
              <w:t>2）具有接收验证数字货币发行请求实验内容：中央银行对商业银行请求内容进行再次加密运算生成H1，根据申请银行公钥解密获得H2，对比H1与H2若相同则验证通过。（3）具有对数字货币发行请求进行业务核查实验内容：央行管理系统校验申请方是否在央行开户、数字货币库是否已登记和申请总金额与明细是否一致。（4）具有发送扣减存款准备金请求实验内容：央行端核查发行通过后计算银行准备金，按照100%扣除，银行端接收准备金扣除通知，向央行ACS系统提交扣除准备金申请。（5）具有扣减存款准备金实验内容：央行端ACS账户收到扣减准备金申请进入准备金业务模块，查询BKCHCNBJ00001，查看详情。输入正确账户标识、账户名称与存款准备金后点击扣款模拟ACS系统扣除银行准备金。（6）具有生产数字货币实验内容：进入商业银行前置机，首先获取生产的货币信息，包括额度控制位、面值、金额，点击生成按钮即可生成数字人民币。（7）具有对数字货币确权实验内容：央行使用第一私钥对数字货币确权、变更货币状态为”可用“。</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开通数字货币钱包实验模块：包括个人数字钱包开通申请实验、钱包端采集用户信息实验、钱包端生成钱包标识和数字证书实验、钱包端生成合约信息实验、返回申请结果实验等多个实验。</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用户兑换数字货币实验模块：包括绑定银行卡实验、发送取币信息实验、签名取币指令实验、扣减余额资金实验、兑换数字货币成功实验等多个实验。</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用户支付数字货币实验模块：包括初始化用户信息实验、发送支付请求实验、商业银行</w:t>
            </w:r>
            <w:r>
              <w:rPr>
                <w:rFonts w:ascii="仿宋_GB2312" w:hAnsi="仿宋_GB2312" w:cs="仿宋_GB2312" w:eastAsia="仿宋_GB2312"/>
                <w:sz w:val="24"/>
              </w:rPr>
              <w:t>A预处理实验、中央银行结算实验、商业银行B处理实验、用户返回实验等多个实验</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rPr>
              <w:t>数字人民币创新应用场景仿真包括以下虚拟仿真</w:t>
            </w:r>
            <w:r>
              <w:rPr>
                <w:rFonts w:ascii="仿宋_GB2312" w:hAnsi="仿宋_GB2312" w:cs="仿宋_GB2312" w:eastAsia="仿宋_GB2312"/>
                <w:sz w:val="24"/>
              </w:rPr>
              <w:t>实验模块：企业对公钱包开立全流程实训、批量发放工资与多级权限审批实训、公益捐赠与资金公示实训。（</w:t>
            </w:r>
            <w:r>
              <w:rPr>
                <w:rFonts w:ascii="仿宋_GB2312" w:hAnsi="仿宋_GB2312" w:cs="仿宋_GB2312" w:eastAsia="仿宋_GB2312"/>
                <w:sz w:val="24"/>
              </w:rPr>
              <w:t>1）数字人民币对公钱包开通：用户可以模拟企业法人，体验数字人民币对公钱包的两种开通方式，分别为临柜开立和远程开立。（2）企业发放数字人民币工资：用户可以模拟企业内部数币操作员和数币复核员的角色，完成工资批量发放、审核、权限管理和交易确认全流程操作。（3）企业使用数字人民币进行公益捐赠：用户可以模拟企业、受赠公益机构和第三方监管机构的角色，完成企业使用数币捐赠、受赠机构查看捐款并官网公示的全流程操作。（</w:t>
            </w:r>
            <w:r>
              <w:rPr>
                <w:rFonts w:ascii="仿宋_GB2312" w:hAnsi="仿宋_GB2312" w:cs="仿宋_GB2312" w:eastAsia="仿宋_GB2312"/>
                <w:sz w:val="24"/>
                <w:b/>
              </w:rPr>
              <w:t>需针对此参数全部内容进行现场功能演示</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标的名称：数字货币数据分析实训平台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二、数字货币数据分析实训平台</w:t>
            </w:r>
          </w:p>
          <w:p>
            <w:pPr>
              <w:pStyle w:val="null3"/>
              <w:jc w:val="both"/>
            </w:pPr>
            <w:r>
              <w:rPr>
                <w:rFonts w:ascii="仿宋_GB2312" w:hAnsi="仿宋_GB2312" w:cs="仿宋_GB2312" w:eastAsia="仿宋_GB2312"/>
                <w:sz w:val="24"/>
              </w:rPr>
              <w:t>（一）、系统技术模块：</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系统应支持通过</w:t>
            </w:r>
            <w:r>
              <w:rPr>
                <w:rFonts w:ascii="仿宋_GB2312" w:hAnsi="仿宋_GB2312" w:cs="仿宋_GB2312" w:eastAsia="仿宋_GB2312"/>
                <w:sz w:val="24"/>
              </w:rPr>
              <w:t>ETL（Extract, Transform, Load）工具，实现对区块链上原始数据的同步与采集，包括但不限于区块数据、交易数据、日志数据、智能合约数据、ERC20代币转账数据及ERC721代币转账数据</w:t>
            </w:r>
            <w:r>
              <w:rPr>
                <w:rFonts w:ascii="仿宋_GB2312" w:hAnsi="仿宋_GB2312" w:cs="仿宋_GB2312" w:eastAsia="仿宋_GB2312"/>
                <w:sz w:val="24"/>
              </w:rPr>
              <w:t>等。</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系统应具备每日处理不低于</w:t>
            </w:r>
            <w:r>
              <w:rPr>
                <w:rFonts w:ascii="仿宋_GB2312" w:hAnsi="仿宋_GB2312" w:cs="仿宋_GB2312" w:eastAsia="仿宋_GB2312"/>
                <w:sz w:val="24"/>
              </w:rPr>
              <w:t>5G链上原始数</w:t>
            </w:r>
            <w:r>
              <w:rPr>
                <w:rFonts w:ascii="仿宋_GB2312" w:hAnsi="仿宋_GB2312" w:cs="仿宋_GB2312" w:eastAsia="仿宋_GB2312"/>
                <w:sz w:val="24"/>
              </w:rPr>
              <w:t>据同步能力，且数据同步延迟（从链上确认到数据入库）应控制在</w:t>
            </w:r>
            <w:r>
              <w:rPr>
                <w:rFonts w:ascii="仿宋_GB2312" w:hAnsi="仿宋_GB2312" w:cs="仿宋_GB2312" w:eastAsia="仿宋_GB2312"/>
                <w:sz w:val="24"/>
              </w:rPr>
              <w:t>15分钟以内。</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支持使用消息中间件。</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系统应支持采用分布式文件存储机制，用于存储链上原始数据，并支持</w:t>
            </w:r>
            <w:r>
              <w:rPr>
                <w:rFonts w:ascii="仿宋_GB2312" w:hAnsi="仿宋_GB2312" w:cs="仿宋_GB2312" w:eastAsia="仿宋_GB2312"/>
                <w:sz w:val="24"/>
              </w:rPr>
              <w:t>CSV、JSON等多种数据格式的存储与读取，提供不低于30TB的存储</w:t>
            </w:r>
            <w:r>
              <w:rPr>
                <w:rFonts w:ascii="仿宋_GB2312" w:hAnsi="仿宋_GB2312" w:cs="仿宋_GB2312" w:eastAsia="仿宋_GB2312"/>
                <w:sz w:val="24"/>
              </w:rPr>
              <w:t>容量。</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系统应支持使用实时数据仓库，用于存储链上结构化详细数据及链上分析数据。</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系统应支持不低于</w:t>
            </w:r>
            <w:r>
              <w:rPr>
                <w:rFonts w:ascii="仿宋_GB2312" w:hAnsi="仿宋_GB2312" w:cs="仿宋_GB2312" w:eastAsia="仿宋_GB2312"/>
                <w:sz w:val="24"/>
              </w:rPr>
              <w:t>100个并发用户同时进行数据查询和分析操作，单个指标查询响应不能超过5秒。</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系统应提供数据分析作业调度功能，支持对数据清洗、转换、分析等任务进行自动化调度与管理。</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系统应支持集成</w:t>
            </w:r>
            <w:r>
              <w:rPr>
                <w:rFonts w:ascii="仿宋_GB2312" w:hAnsi="仿宋_GB2312" w:cs="仿宋_GB2312" w:eastAsia="仿宋_GB2312"/>
                <w:sz w:val="24"/>
              </w:rPr>
              <w:t>Apache Spark、Flink或同等性能的分布式计算框架，以支持大规模数据批处理和流处理分析作业，并具备弹性伸缩能力。</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系统应具备高并发处理能力，能够稳定处理大规模链上数据，并保证数据同步、存储及查询的响应时间满足业务需求。</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（二）、应用技术模块：</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应用平台可收集不少于</w:t>
            </w:r>
            <w:r>
              <w:rPr>
                <w:rFonts w:ascii="仿宋_GB2312" w:hAnsi="仿宋_GB2312" w:cs="仿宋_GB2312" w:eastAsia="仿宋_GB2312"/>
                <w:sz w:val="24"/>
              </w:rPr>
              <w:t>5条主流区块链，包括比特币网络，以太坊网络，BNB，CONFLUX，Polygon等链上节点存储的所有数据，包括区块数据，账户信息，交易与日志记录，智能合约代码等原生数据。</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具备区块链浏览器功能，支持精细化检索，包括对哈希地址，区块高度，指定账户进行精准查询。</w:t>
            </w:r>
          </w:p>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rPr>
              <w:t>应用平台使用统一数据处理引擎实现统一结构化处理后存于结构化数据库中。支持构建可视化视图，支持通过</w:t>
            </w:r>
            <w:r>
              <w:rPr>
                <w:rFonts w:ascii="仿宋_GB2312" w:hAnsi="仿宋_GB2312" w:cs="仿宋_GB2312" w:eastAsia="仿宋_GB2312"/>
                <w:sz w:val="24"/>
              </w:rPr>
              <w:t>SQL语句指令查询数据。支持在统一数据库中实现跨链数据查询，数据统计，数据分析。</w:t>
            </w:r>
          </w:p>
          <w:p>
            <w:pPr>
              <w:pStyle w:val="null3"/>
              <w:ind w:left="420"/>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应用平台内置</w:t>
            </w:r>
            <w:r>
              <w:rPr>
                <w:rFonts w:ascii="仿宋_GB2312" w:hAnsi="仿宋_GB2312" w:cs="仿宋_GB2312" w:eastAsia="仿宋_GB2312"/>
                <w:sz w:val="24"/>
              </w:rPr>
              <w:t>BI数据可视化工具，支持对链上汇总数据的分析结果呈现为数据大屏幕，支持对数据进行OLAP（在线分析处理），支持多维度分析,去切片，切块，钻取汇总等。支持用户拖拉拽字段构建分析模型，不必写SQL。支持交互式仪表盘，支持动态刷</w:t>
            </w:r>
            <w:r>
              <w:rPr>
                <w:rFonts w:ascii="仿宋_GB2312" w:hAnsi="仿宋_GB2312" w:cs="仿宋_GB2312" w:eastAsia="仿宋_GB2312"/>
                <w:sz w:val="24"/>
              </w:rPr>
              <w:t>新。</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19.</w:t>
            </w:r>
            <w:r>
              <w:rPr>
                <w:rFonts w:ascii="仿宋_GB2312" w:hAnsi="仿宋_GB2312" w:cs="仿宋_GB2312" w:eastAsia="仿宋_GB2312"/>
                <w:sz w:val="24"/>
              </w:rPr>
              <w:t>应用平台内置不少于</w:t>
            </w:r>
            <w:r>
              <w:rPr>
                <w:rFonts w:ascii="仿宋_GB2312" w:hAnsi="仿宋_GB2312" w:cs="仿宋_GB2312" w:eastAsia="仿宋_GB2312"/>
                <w:sz w:val="24"/>
              </w:rPr>
              <w:t>40个内置面向区块链的分析指标和分析视图。包括但不限于：跨链的交易总量，费率，应用活跃度，合约地址调用次数，账户各类统计数据，关联账户分析，可以交易分析，异动账户监测等功能。</w:t>
            </w:r>
          </w:p>
          <w:p>
            <w:pPr>
              <w:pStyle w:val="null3"/>
              <w:ind w:left="420"/>
              <w:jc w:val="both"/>
            </w:pPr>
            <w:r>
              <w:rPr>
                <w:rFonts w:ascii="仿宋_GB2312" w:hAnsi="仿宋_GB2312" w:cs="仿宋_GB2312" w:eastAsia="仿宋_GB2312"/>
                <w:sz w:val="24"/>
              </w:rPr>
              <w:t>20.</w:t>
            </w:r>
            <w:r>
              <w:rPr>
                <w:rFonts w:ascii="仿宋_GB2312" w:hAnsi="仿宋_GB2312" w:cs="仿宋_GB2312" w:eastAsia="仿宋_GB2312"/>
                <w:sz w:val="24"/>
              </w:rPr>
              <w:t>应用平台提供对应的</w:t>
            </w:r>
            <w:r>
              <w:rPr>
                <w:rFonts w:ascii="仿宋_GB2312" w:hAnsi="仿宋_GB2312" w:cs="仿宋_GB2312" w:eastAsia="仿宋_GB2312"/>
                <w:sz w:val="24"/>
              </w:rPr>
              <w:t>python，rust和JAVA三种API接口，支持用户第三方应用，接入数据平台。利用API进行二次开发。</w:t>
            </w:r>
          </w:p>
          <w:p>
            <w:pPr>
              <w:pStyle w:val="null3"/>
              <w:ind w:left="420"/>
              <w:jc w:val="both"/>
            </w:pPr>
            <w:r>
              <w:rPr>
                <w:rFonts w:ascii="仿宋_GB2312" w:hAnsi="仿宋_GB2312" w:cs="仿宋_GB2312" w:eastAsia="仿宋_GB2312"/>
                <w:sz w:val="24"/>
              </w:rPr>
              <w:t>21.</w:t>
            </w:r>
            <w:r>
              <w:rPr>
                <w:rFonts w:ascii="仿宋_GB2312" w:hAnsi="仿宋_GB2312" w:cs="仿宋_GB2312" w:eastAsia="仿宋_GB2312"/>
                <w:sz w:val="24"/>
              </w:rPr>
              <w:t>应用平台可实现每日数据动态更新，保证各条链上数据均可顺利汇聚。支持数据根据需要导出为</w:t>
            </w:r>
            <w:r>
              <w:rPr>
                <w:rFonts w:ascii="仿宋_GB2312" w:hAnsi="仿宋_GB2312" w:cs="仿宋_GB2312" w:eastAsia="仿宋_GB2312"/>
                <w:sz w:val="24"/>
              </w:rPr>
              <w:t>CSV，XLS等格式。</w:t>
            </w:r>
          </w:p>
          <w:p>
            <w:pPr>
              <w:pStyle w:val="null3"/>
            </w:pPr>
            <w:r>
              <w:rPr>
                <w:rFonts w:ascii="仿宋_GB2312" w:hAnsi="仿宋_GB2312" w:cs="仿宋_GB2312" w:eastAsia="仿宋_GB2312"/>
                <w:sz w:val="24"/>
              </w:rPr>
              <w:t>22.</w:t>
            </w:r>
            <w:r>
              <w:rPr>
                <w:rFonts w:ascii="仿宋_GB2312" w:hAnsi="仿宋_GB2312" w:cs="仿宋_GB2312" w:eastAsia="仿宋_GB2312"/>
                <w:sz w:val="24"/>
              </w:rPr>
              <w:t>应用平台应提供数据字典详细介绍平台的使用方法。数据权限根据生产角色，处理角色，使用角色，观察角色做出严格区分。</w:t>
            </w:r>
          </w:p>
        </w:tc>
      </w:tr>
    </w:tbl>
    <w:p>
      <w:pPr>
        <w:pStyle w:val="null3"/>
      </w:pPr>
      <w:r>
        <w:rPr>
          <w:rFonts w:ascii="仿宋_GB2312" w:hAnsi="仿宋_GB2312" w:cs="仿宋_GB2312" w:eastAsia="仿宋_GB2312"/>
        </w:rPr>
        <w:t>标的名称：区块链技术与应用平台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三、区块链技术与应用</w:t>
            </w:r>
            <w:r>
              <w:rPr>
                <w:rFonts w:ascii="仿宋_GB2312" w:hAnsi="仿宋_GB2312" w:cs="仿宋_GB2312" w:eastAsia="仿宋_GB2312"/>
                <w:sz w:val="24"/>
                <w:b/>
              </w:rPr>
              <w:t>平台</w:t>
            </w:r>
            <w:r>
              <w:rPr>
                <w:rFonts w:ascii="仿宋_GB2312" w:hAnsi="仿宋_GB2312" w:cs="仿宋_GB2312" w:eastAsia="仿宋_GB2312"/>
                <w:sz w:val="24"/>
                <w:b/>
              </w:rPr>
              <w:t>（核心产品）</w:t>
            </w:r>
          </w:p>
          <w:p>
            <w:pPr>
              <w:pStyle w:val="null3"/>
              <w:ind w:left="420"/>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平台提供区块链金融实训项目，至少包含以下案例实践：区块链与数字钱包、区块链与数字藏品、区块链与企业资产管理、区块链与供应链金融、区块链与跨境交易等</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1）区块链与数字钱包：通过角色模拟的方式让学生体</w:t>
            </w:r>
            <w:r>
              <w:rPr>
                <w:rFonts w:ascii="仿宋_GB2312" w:hAnsi="仿宋_GB2312" w:cs="仿宋_GB2312" w:eastAsia="仿宋_GB2312"/>
                <w:sz w:val="24"/>
              </w:rPr>
              <w:t>会到如何运用数字货币购买产品，模拟区块链对支付系统的支持过程。（</w:t>
            </w:r>
            <w:r>
              <w:rPr>
                <w:rFonts w:ascii="仿宋_GB2312" w:hAnsi="仿宋_GB2312" w:cs="仿宋_GB2312" w:eastAsia="仿宋_GB2312"/>
                <w:sz w:val="24"/>
              </w:rPr>
              <w:t>2）区块链与数字藏品：通过角色模拟的方式让学生体验数字藏品的发行、购买和管理过程。（3）区块链与企业资产管理：通过角色模拟的方式让学生体验模拟企业贷款申请、审批和项目管理过程，并在区块链上进行记录和验证。（4）区块链与供应链金融：通过角色模拟的方式让学生体验供应链金融和贷款管理的过程，以及如何使用区块链技术来管理合同、交易和支付。（5）区块链与跨境交易:通过角色模拟的方式让学生体验跨境交易和供应链管理的过程，以及如何使用区块链技术来管理合同、交易和支付，同时涉及数字货币账户的创建和管理。</w:t>
            </w:r>
          </w:p>
          <w:p>
            <w:pPr>
              <w:pStyle w:val="null3"/>
              <w:ind w:left="420"/>
              <w:jc w:val="both"/>
            </w:pPr>
            <w:r>
              <w:rPr>
                <w:rFonts w:ascii="仿宋_GB2312" w:hAnsi="仿宋_GB2312" w:cs="仿宋_GB2312" w:eastAsia="仿宋_GB2312"/>
                <w:sz w:val="24"/>
              </w:rPr>
              <w:t>24.</w:t>
            </w:r>
            <w:r>
              <w:rPr>
                <w:rFonts w:ascii="仿宋_GB2312" w:hAnsi="仿宋_GB2312" w:cs="仿宋_GB2312" w:eastAsia="仿宋_GB2312"/>
                <w:sz w:val="24"/>
              </w:rPr>
              <w:t>平台提供区块链征信实训项目，案例实践内容不少于以下步骤：管理员身份和一般用户征信节点注册、征信节点用户采集数据、征信节点用户数据分析、个人用户查询和授权征信报告（</w:t>
            </w:r>
            <w:r>
              <w:rPr>
                <w:rFonts w:ascii="仿宋_GB2312" w:hAnsi="仿宋_GB2312" w:cs="仿宋_GB2312" w:eastAsia="仿宋_GB2312"/>
                <w:sz w:val="24"/>
              </w:rPr>
              <w:t>1）管理员身份和一般用户征信节点注册：通过角色模拟的方式让学生体验管理员身份和一般用户征信节点注册流程。（2）征信节点用户采集数据：通过角色模拟的方式体验管理员身份和一般用户征信节点用户采集数据流程。（3）征信节点用户数据分析：通过角色模拟的方式体验征信节点用户数据分析流程。（4）个人用户查询和授权征信报告：通过角色模拟的方式体验个人用户查询和授权征信报告流程。</w:t>
            </w:r>
          </w:p>
          <w:p>
            <w:pPr>
              <w:pStyle w:val="null3"/>
              <w:ind w:left="420"/>
              <w:jc w:val="both"/>
            </w:pPr>
            <w:r>
              <w:rPr>
                <w:rFonts w:ascii="仿宋_GB2312" w:hAnsi="仿宋_GB2312" w:cs="仿宋_GB2312" w:eastAsia="仿宋_GB2312"/>
                <w:sz w:val="24"/>
              </w:rPr>
              <w:t>25.</w:t>
            </w:r>
            <w:r>
              <w:rPr>
                <w:rFonts w:ascii="仿宋_GB2312" w:hAnsi="仿宋_GB2312" w:cs="仿宋_GB2312" w:eastAsia="仿宋_GB2312"/>
                <w:sz w:val="24"/>
              </w:rPr>
              <w:t>平台提供区块链保险实训项目，案例实践内容不少于以下步骤：投保信息处理、核保、案件处理、续保等内容的理论学习与案例实践。加深学生对区块链保险场景的理解与运用。（</w:t>
            </w:r>
            <w:r>
              <w:rPr>
                <w:rFonts w:ascii="仿宋_GB2312" w:hAnsi="仿宋_GB2312" w:cs="仿宋_GB2312" w:eastAsia="仿宋_GB2312"/>
                <w:sz w:val="24"/>
              </w:rPr>
              <w:t>1）投保信息处理：通过扮演保险业务员，了解保险业务员的工作内容和基本工作流程，了解保险销售的一般对话内容，如何计算保费。（2）核保：通过扮演核保人员，对投保信息进行审核和核实，以学习核保的基本流程。（3）案件处理：通过扮演风控人员和业务人员，对案件进行提报和审核等操作。（4）续保：通过扮演保险业务员和风控专员，判断哪些对象可以进行续保。</w:t>
            </w:r>
          </w:p>
          <w:p>
            <w:pPr>
              <w:pStyle w:val="null3"/>
              <w:ind w:left="420"/>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平台提供区块链农产品溯源实训项目，案例实践内容不少于以下步骤：消费者购买农产品、商超发货、消费者收货并评价、消费者退换货等内容的理论学习与案例实践</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）消费者购买农产品：</w:t>
            </w:r>
            <w:r>
              <w:rPr>
                <w:rFonts w:ascii="仿宋_GB2312" w:hAnsi="仿宋_GB2312" w:cs="仿宋_GB2312" w:eastAsia="仿宋_GB2312"/>
                <w:sz w:val="24"/>
              </w:rPr>
              <w:t>学生需要模拟消费者在购买农产品时的操作，包括选择产品、支付等。（</w:t>
            </w:r>
            <w:r>
              <w:rPr>
                <w:rFonts w:ascii="仿宋_GB2312" w:hAnsi="仿宋_GB2312" w:cs="仿宋_GB2312" w:eastAsia="仿宋_GB2312"/>
                <w:sz w:val="24"/>
              </w:rPr>
              <w:t>2）商超发货：模拟商超处理订单、包装和发货的过程，将农产品送达消费者。（3）消费者收货并评价：模拟消费者收到农产品并对其进行评价的过程。（4）消费者退换货：模拟消费者因为产品问题进行退换货的操作。</w:t>
            </w:r>
          </w:p>
          <w:p>
            <w:pPr>
              <w:pStyle w:val="null3"/>
              <w:ind w:left="420"/>
              <w:jc w:val="both"/>
            </w:pPr>
            <w:r>
              <w:rPr>
                <w:rFonts w:ascii="仿宋_GB2312" w:hAnsi="仿宋_GB2312" w:cs="仿宋_GB2312" w:eastAsia="仿宋_GB2312"/>
                <w:sz w:val="24"/>
              </w:rPr>
              <w:t>27.</w:t>
            </w:r>
            <w:r>
              <w:rPr>
                <w:rFonts w:ascii="仿宋_GB2312" w:hAnsi="仿宋_GB2312" w:cs="仿宋_GB2312" w:eastAsia="仿宋_GB2312"/>
                <w:sz w:val="24"/>
              </w:rPr>
              <w:t>平台提供不少于</w:t>
            </w:r>
            <w:r>
              <w:rPr>
                <w:rFonts w:ascii="仿宋_GB2312" w:hAnsi="仿宋_GB2312" w:cs="仿宋_GB2312" w:eastAsia="仿宋_GB2312"/>
                <w:sz w:val="24"/>
              </w:rPr>
              <w:t>20个的微实验，其中区块链知识点可生成图形化、可交互的实验内容；</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rPr>
              <w:t>微实验内容：包括哈希函数、</w:t>
            </w:r>
            <w:r>
              <w:rPr>
                <w:rFonts w:ascii="仿宋_GB2312" w:hAnsi="仿宋_GB2312" w:cs="仿宋_GB2312" w:eastAsia="仿宋_GB2312"/>
                <w:sz w:val="24"/>
              </w:rPr>
              <w:t>Merkle树、公钥密码、数字签名、比特承诺、区块（比特币）、伪随机序列（LCG）、UTXO、全节点/轻节点、默克尔验证、p2p网络、时间戳、51%攻击、智能合约、工作量证明、权益证明（PoS）、比特币挖币机制、区块链（比特币）、零知识证明等不少于20个微实验。</w:t>
            </w:r>
            <w:r>
              <w:rPr>
                <w:rFonts w:ascii="仿宋_GB2312" w:hAnsi="仿宋_GB2312" w:cs="仿宋_GB2312" w:eastAsia="仿宋_GB2312"/>
                <w:sz w:val="24"/>
                <w:b/>
              </w:rPr>
              <w:t>（需针对此参数全部内容进行现场功能演示）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rPr>
              <w:t>平台内嵌云桌面，配置联盟链搭建教程，用户可以从启动链节点、检查节点进程、检查日志输出、启动并使用控制台、部署合约、调用合约这几个步骤来搭建一条真实的链。</w:t>
            </w:r>
            <w:r>
              <w:rPr>
                <w:rFonts w:ascii="仿宋_GB2312" w:hAnsi="仿宋_GB2312" w:cs="仿宋_GB2312" w:eastAsia="仿宋_GB2312"/>
                <w:sz w:val="24"/>
                <w:b/>
              </w:rPr>
              <w:t>（需针对此参数全部内容进行现场功能演示）</w:t>
            </w:r>
          </w:p>
          <w:p>
            <w:pPr>
              <w:pStyle w:val="null3"/>
              <w:ind w:left="420"/>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平台内嵌对话式</w:t>
            </w:r>
            <w:r>
              <w:rPr>
                <w:rFonts w:ascii="仿宋_GB2312" w:hAnsi="仿宋_GB2312" w:cs="仿宋_GB2312" w:eastAsia="仿宋_GB2312"/>
                <w:sz w:val="24"/>
              </w:rPr>
              <w:t>AI智能助手，支持用户提问区块链相关知识点、平台课程、平台功能相关问题。</w:t>
            </w:r>
            <w:r>
              <w:rPr>
                <w:rFonts w:ascii="仿宋_GB2312" w:hAnsi="仿宋_GB2312" w:cs="仿宋_GB2312" w:eastAsia="仿宋_GB2312"/>
                <w:sz w:val="24"/>
                <w:b/>
              </w:rPr>
              <w:t>（</w:t>
            </w:r>
            <w:r>
              <w:rPr>
                <w:rFonts w:ascii="仿宋_GB2312" w:hAnsi="仿宋_GB2312" w:cs="仿宋_GB2312" w:eastAsia="仿宋_GB2312"/>
                <w:sz w:val="24"/>
                <w:b/>
              </w:rPr>
              <w:t>须提供产品检测报告或系统功能截图佐证此项技术参数，并加盖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教学资源模块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提供三个大类课程，包括：区块链金融行业通识课程、区块链金融高校配套课程、区块链岗位培训及认证课程。</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rPr>
              <w:t>《区块链金融行业通识课程》内资料类型为讲义、音视频和</w:t>
            </w:r>
            <w:r>
              <w:rPr>
                <w:rFonts w:ascii="仿宋_GB2312" w:hAnsi="仿宋_GB2312" w:cs="仿宋_GB2312" w:eastAsia="仿宋_GB2312"/>
                <w:sz w:val="24"/>
              </w:rPr>
              <w:t>PPT。《区块链金融行业通识课程》内包含：区块链技术概要、分布式账本的实际应用：去中心化身份、区块链网络和技术、以太坊联盟、Hyperledger Fabric、Corda、分布式账本的实际应用：基于分布式账本的贸易融资、分布式账本的实际应用：数字货币和数字资产、分布式账本的实际应用：保险、分布式账本的实际应用：溯源等不少于10个章节，有不低于800分钟的视频内容。</w:t>
            </w:r>
            <w:r>
              <w:rPr>
                <w:rFonts w:ascii="仿宋_GB2312" w:hAnsi="仿宋_GB2312" w:cs="仿宋_GB2312" w:eastAsia="仿宋_GB2312"/>
                <w:sz w:val="24"/>
                <w:b/>
              </w:rPr>
              <w:t>（需针对此参数全部内容进行现场功能演示）</w:t>
            </w:r>
          </w:p>
          <w:p>
            <w:pPr>
              <w:pStyle w:val="null3"/>
              <w:ind w:left="420"/>
              <w:jc w:val="both"/>
            </w:pPr>
            <w:r>
              <w:rPr>
                <w:rFonts w:ascii="仿宋_GB2312" w:hAnsi="仿宋_GB2312" w:cs="仿宋_GB2312" w:eastAsia="仿宋_GB2312"/>
                <w:sz w:val="24"/>
              </w:rPr>
              <w:t>29.</w:t>
            </w:r>
            <w:r>
              <w:rPr>
                <w:rFonts w:ascii="仿宋_GB2312" w:hAnsi="仿宋_GB2312" w:cs="仿宋_GB2312" w:eastAsia="仿宋_GB2312"/>
                <w:sz w:val="24"/>
              </w:rPr>
              <w:t>《区块链金融高校配套课程》内资料类型为讲义和</w:t>
            </w:r>
            <w:r>
              <w:rPr>
                <w:rFonts w:ascii="仿宋_GB2312" w:hAnsi="仿宋_GB2312" w:cs="仿宋_GB2312" w:eastAsia="仿宋_GB2312"/>
                <w:sz w:val="24"/>
              </w:rPr>
              <w:t>PPT。《区块链金融高校配套课程》内包含：区块链的基本概念、区块链共识算法、分布式系统、密码学技术、区块链金融应用、区块链架构、智能合约等章节。</w:t>
            </w:r>
          </w:p>
          <w:p>
            <w:pPr>
              <w:pStyle w:val="null3"/>
              <w:ind w:left="420"/>
              <w:jc w:val="both"/>
            </w:pPr>
            <w:r>
              <w:rPr>
                <w:rFonts w:ascii="仿宋_GB2312" w:hAnsi="仿宋_GB2312" w:cs="仿宋_GB2312" w:eastAsia="仿宋_GB2312"/>
                <w:sz w:val="24"/>
              </w:rPr>
              <w:t>30.</w:t>
            </w:r>
            <w:r>
              <w:rPr>
                <w:rFonts w:ascii="仿宋_GB2312" w:hAnsi="仿宋_GB2312" w:cs="仿宋_GB2312" w:eastAsia="仿宋_GB2312"/>
                <w:sz w:val="24"/>
              </w:rPr>
              <w:t>《区块链岗位培训及认证课程》内资料类型为讲义和</w:t>
            </w:r>
            <w:r>
              <w:rPr>
                <w:rFonts w:ascii="仿宋_GB2312" w:hAnsi="仿宋_GB2312" w:cs="仿宋_GB2312" w:eastAsia="仿宋_GB2312"/>
                <w:sz w:val="24"/>
              </w:rPr>
              <w:t>PPT。《区块链岗位培训及认证课程》包含：区块链应用架构师培训课程、区块链运维工程师培训课程、区块链底层架构师培训课程等多种不同岗位培训的课程。</w:t>
            </w:r>
          </w:p>
          <w:p>
            <w:pPr>
              <w:pStyle w:val="null3"/>
              <w:jc w:val="both"/>
            </w:pPr>
            <w:r>
              <w:rPr>
                <w:rFonts w:ascii="仿宋_GB2312" w:hAnsi="仿宋_GB2312" w:cs="仿宋_GB2312" w:eastAsia="仿宋_GB2312"/>
                <w:sz w:val="24"/>
              </w:rPr>
              <w:t>区块链中心模块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rPr>
              <w:t>实训系统需要基于主流（国产）联盟链开发，能支持区块链的实际操作和编程功能，实际操作和编程应与联盟链的实际环境一致，支持基于区块链的各项功能。实训系统应该在同一套系统内同时包含课程，代码，在线编程环境，链上管理工具和内置常用智能合约协议。包括内置：</w:t>
            </w:r>
            <w:r>
              <w:rPr>
                <w:rFonts w:ascii="仿宋_GB2312" w:hAnsi="仿宋_GB2312" w:cs="仿宋_GB2312" w:eastAsia="仿宋_GB2312"/>
                <w:sz w:val="24"/>
              </w:rPr>
              <w:t>ERC20，ERC721，ERC1155智能合约协议，包括应具备区块链浏览器工具，在线智能合约编程工具，在线智能合约编译和部署工具，在线发布和接口调试工具以及贯穿全系统的Token交易模拟环境以及非同质化代币模拟交易市场。</w:t>
            </w:r>
            <w:r>
              <w:rPr>
                <w:rFonts w:ascii="仿宋_GB2312" w:hAnsi="仿宋_GB2312" w:cs="仿宋_GB2312" w:eastAsia="仿宋_GB2312"/>
                <w:sz w:val="24"/>
                <w:b/>
              </w:rPr>
              <w:t>（需针对此参数全部内容进行现场功能演示）</w:t>
            </w:r>
          </w:p>
          <w:p>
            <w:pPr>
              <w:pStyle w:val="null3"/>
              <w:ind w:left="420"/>
              <w:jc w:val="both"/>
            </w:pPr>
            <w:r>
              <w:rPr>
                <w:rFonts w:ascii="仿宋_GB2312" w:hAnsi="仿宋_GB2312" w:cs="仿宋_GB2312" w:eastAsia="仿宋_GB2312"/>
                <w:sz w:val="24"/>
              </w:rPr>
              <w:t>31.</w:t>
            </w:r>
            <w:r>
              <w:rPr>
                <w:rFonts w:ascii="仿宋_GB2312" w:hAnsi="仿宋_GB2312" w:cs="仿宋_GB2312" w:eastAsia="仿宋_GB2312"/>
                <w:sz w:val="24"/>
              </w:rPr>
              <w:t>实训系统具有配套的智能合约在线编辑器，支持编写智能合约，支持同时创建多个智能合约。允许工程内可以创建多个代码文件支持代码直接保存在云上，并可以在线编译、在线调试和在线部署功能。在线编写的代码，支持输出智能合约编译和运行时的错误信息。</w:t>
            </w:r>
          </w:p>
          <w:p>
            <w:pPr>
              <w:pStyle w:val="null3"/>
              <w:ind w:left="420"/>
              <w:jc w:val="both"/>
            </w:pPr>
            <w:r>
              <w:rPr>
                <w:rFonts w:ascii="仿宋_GB2312" w:hAnsi="仿宋_GB2312" w:cs="仿宋_GB2312" w:eastAsia="仿宋_GB2312"/>
                <w:sz w:val="24"/>
              </w:rPr>
              <w:t>32.</w:t>
            </w:r>
            <w:r>
              <w:rPr>
                <w:rFonts w:ascii="仿宋_GB2312" w:hAnsi="仿宋_GB2312" w:cs="仿宋_GB2312" w:eastAsia="仿宋_GB2312"/>
                <w:sz w:val="24"/>
              </w:rPr>
              <w:t>实训系统应支持智能合约在线编译和在线发布后，可以自动生成智能合约的接口，且可以在线调试接口。运行调试可随时输出调用结果。</w:t>
            </w:r>
          </w:p>
          <w:p>
            <w:pPr>
              <w:pStyle w:val="null3"/>
              <w:ind w:left="420"/>
              <w:jc w:val="both"/>
            </w:pPr>
            <w:r>
              <w:rPr>
                <w:rFonts w:ascii="仿宋_GB2312" w:hAnsi="仿宋_GB2312" w:cs="仿宋_GB2312" w:eastAsia="仿宋_GB2312"/>
                <w:sz w:val="24"/>
              </w:rPr>
              <w:t>33.</w:t>
            </w:r>
            <w:r>
              <w:rPr>
                <w:rFonts w:ascii="仿宋_GB2312" w:hAnsi="仿宋_GB2312" w:cs="仿宋_GB2312" w:eastAsia="仿宋_GB2312"/>
                <w:sz w:val="24"/>
              </w:rPr>
              <w:t>实训系统对所发布在实训联盟链上的智能合约具有监听器功能，支持智能合约发布后监听智能合约所有的调用情况，可以统计调用次数，反馈调用结果和统计数量。</w:t>
            </w:r>
          </w:p>
          <w:p>
            <w:pPr>
              <w:pStyle w:val="null3"/>
              <w:ind w:left="420"/>
              <w:jc w:val="both"/>
            </w:pPr>
            <w:r>
              <w:rPr>
                <w:rFonts w:ascii="仿宋_GB2312" w:hAnsi="仿宋_GB2312" w:cs="仿宋_GB2312" w:eastAsia="仿宋_GB2312"/>
                <w:sz w:val="24"/>
              </w:rPr>
              <w:t>34.</w:t>
            </w:r>
            <w:r>
              <w:rPr>
                <w:rFonts w:ascii="仿宋_GB2312" w:hAnsi="仿宋_GB2312" w:cs="仿宋_GB2312" w:eastAsia="仿宋_GB2312"/>
                <w:sz w:val="24"/>
              </w:rPr>
              <w:t>实训系统要求内置区块链浏览器，可统计最近多天的交易数据，块查询，交易详情查看，智能合约查询，可以自动解析出链上交易的参数，解析出交易调用智能合约的接口名字。浏览器可以统计所有链上活动数据，可以自动识别出实现</w:t>
            </w:r>
            <w:r>
              <w:rPr>
                <w:rFonts w:ascii="仿宋_GB2312" w:hAnsi="仿宋_GB2312" w:cs="仿宋_GB2312" w:eastAsia="仿宋_GB2312"/>
                <w:sz w:val="24"/>
              </w:rPr>
              <w:t>ERC20，ERC721，ERC1155 协议合约与相关交易记录。自动解析已知智能合约所有交易参数，支持多维度查询指定钱包地址或合约地址的所有交易信息，支持查看任一地址的所有交易记录。</w:t>
            </w:r>
          </w:p>
          <w:p>
            <w:pPr>
              <w:pStyle w:val="null3"/>
              <w:ind w:left="420"/>
              <w:jc w:val="both"/>
            </w:pPr>
            <w:r>
              <w:rPr>
                <w:rFonts w:ascii="仿宋_GB2312" w:hAnsi="仿宋_GB2312" w:cs="仿宋_GB2312" w:eastAsia="仿宋_GB2312"/>
                <w:sz w:val="24"/>
              </w:rPr>
              <w:t>35.</w:t>
            </w:r>
            <w:r>
              <w:rPr>
                <w:rFonts w:ascii="仿宋_GB2312" w:hAnsi="仿宋_GB2312" w:cs="仿宋_GB2312" w:eastAsia="仿宋_GB2312"/>
                <w:sz w:val="24"/>
              </w:rPr>
              <w:t>实训系统要求内置基于区块链的非同质化代币仿真交易市场，可完成非同质化代币技术的全场景实践。包括一键生成符合</w:t>
            </w:r>
            <w:r>
              <w:rPr>
                <w:rFonts w:ascii="仿宋_GB2312" w:hAnsi="仿宋_GB2312" w:cs="仿宋_GB2312" w:eastAsia="仿宋_GB2312"/>
                <w:sz w:val="24"/>
              </w:rPr>
              <w:t>ERC721，ERC1155 协议的非同质化代币。非同质化代币生成对象支持图片，要求实训系统集成非同质化代币的内容数据存储功能，可以在线可以直接浏览非同质化代币的真实信息，支持直接下载非同质化代币对应的数据文件。可以支持使用ERC20 协议模拟生成Token通证，并可在 非同质化代币 市场中通过Token模拟购买 非同质化代币。支持非同质化代币信息查询，可查看每一个非同质化代币 的作者，历史价格，以及历史交易记录。内容信息以及跟踪非同质化代币历史交易情况。支持用户编写符合ERC721,ERC1155协议标准的智能合约进入该市场。</w:t>
            </w:r>
          </w:p>
          <w:p>
            <w:pPr>
              <w:pStyle w:val="null3"/>
              <w:ind w:left="420"/>
              <w:jc w:val="both"/>
            </w:pPr>
            <w:r>
              <w:rPr>
                <w:rFonts w:ascii="仿宋_GB2312" w:hAnsi="仿宋_GB2312" w:cs="仿宋_GB2312" w:eastAsia="仿宋_GB2312"/>
                <w:sz w:val="24"/>
              </w:rPr>
              <w:t>36.</w:t>
            </w:r>
            <w:r>
              <w:rPr>
                <w:rFonts w:ascii="仿宋_GB2312" w:hAnsi="仿宋_GB2312" w:cs="仿宋_GB2312" w:eastAsia="仿宋_GB2312"/>
                <w:sz w:val="24"/>
              </w:rPr>
              <w:t>实训系统支持在链上基于</w:t>
            </w:r>
            <w:r>
              <w:rPr>
                <w:rFonts w:ascii="仿宋_GB2312" w:hAnsi="仿宋_GB2312" w:cs="仿宋_GB2312" w:eastAsia="仿宋_GB2312"/>
                <w:sz w:val="24"/>
              </w:rPr>
              <w:t>ERC20协议进行区块链钱包的实践，用户可以通过模拟发行ERC20的Token通证学习区块链的钱包支付功能，支持查看钱包所有的交易记录，支持转账给指定钱包地址，支持利用Token通证对 ERC721，ERC1155 协议生成的非同质化代币资产进行交易等技术实践。</w:t>
            </w:r>
          </w:p>
          <w:p>
            <w:pPr>
              <w:pStyle w:val="null3"/>
              <w:jc w:val="both"/>
            </w:pPr>
            <w:r>
              <w:rPr>
                <w:rFonts w:ascii="仿宋_GB2312" w:hAnsi="仿宋_GB2312" w:cs="仿宋_GB2312" w:eastAsia="仿宋_GB2312"/>
                <w:sz w:val="24"/>
              </w:rPr>
              <w:t>课程与资源管理模块</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37.</w:t>
            </w:r>
            <w:r>
              <w:rPr>
                <w:rFonts w:ascii="仿宋_GB2312" w:hAnsi="仿宋_GB2312" w:cs="仿宋_GB2312" w:eastAsia="仿宋_GB2312"/>
                <w:sz w:val="24"/>
              </w:rPr>
              <w:t>课程与资源管理：（</w:t>
            </w:r>
            <w:r>
              <w:rPr>
                <w:rFonts w:ascii="仿宋_GB2312" w:hAnsi="仿宋_GB2312" w:cs="仿宋_GB2312" w:eastAsia="仿宋_GB2312"/>
                <w:sz w:val="24"/>
              </w:rPr>
              <w:t>1）支持老师上传讲义、附件、音视频资源，并可以发布至公共资源库，已发布的资源可以用来组课；（2）老师可以将应用案例添加进课程内；（3）支持老师添加课程或课程集，课程可以使用资源来组合，课程集可以使用课程来组合；并且可以发布至公共课程库；（4）学生可以查看区块链课程的课程列表，以及课程详细信息，比如：总课时、包含小节、课程难度、合集内资源及目录、学习进度等信息；（5）学生可以点击课程目录进入学习，支持拖动课程内包含的资源内容进入学习界面，并支持双屏教学。（6）管理员可以在后台配置资源上传的权限，有此权限的用户可以上传资源至公共资源库，无需人工审核。</w:t>
            </w:r>
          </w:p>
          <w:p>
            <w:pPr>
              <w:pStyle w:val="null3"/>
              <w:ind w:left="420"/>
              <w:jc w:val="both"/>
            </w:pPr>
            <w:r>
              <w:rPr>
                <w:rFonts w:ascii="仿宋_GB2312" w:hAnsi="仿宋_GB2312" w:cs="仿宋_GB2312" w:eastAsia="仿宋_GB2312"/>
                <w:sz w:val="24"/>
              </w:rPr>
              <w:t>38.</w:t>
            </w:r>
            <w:r>
              <w:rPr>
                <w:rFonts w:ascii="仿宋_GB2312" w:hAnsi="仿宋_GB2312" w:cs="仿宋_GB2312" w:eastAsia="仿宋_GB2312"/>
                <w:sz w:val="24"/>
              </w:rPr>
              <w:t>支持嵌入式课程功能：系统内集成课程。用户可在系统内直接学习课程。</w:t>
            </w:r>
          </w:p>
          <w:p>
            <w:pPr>
              <w:pStyle w:val="null3"/>
              <w:jc w:val="both"/>
            </w:pPr>
            <w:r>
              <w:rPr>
                <w:rFonts w:ascii="仿宋_GB2312" w:hAnsi="仿宋_GB2312" w:cs="仿宋_GB2312" w:eastAsia="仿宋_GB2312"/>
                <w:sz w:val="24"/>
              </w:rPr>
              <w:t>教学管理模块</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39.</w:t>
            </w:r>
            <w:r>
              <w:rPr>
                <w:rFonts w:ascii="仿宋_GB2312" w:hAnsi="仿宋_GB2312" w:cs="仿宋_GB2312" w:eastAsia="仿宋_GB2312"/>
                <w:sz w:val="24"/>
              </w:rPr>
              <w:t>支持管理员创建学校，院系，专业，班级，构建学校组织体系；支持后台批量导入教师和学生，将老师和学生分配到具体学校下的班级；支持教师新建授课，选择对应的后台班级内的学生进行组合成为新的授课班级，授课班级内学生可以查看对应的授课信息。</w:t>
            </w:r>
          </w:p>
          <w:p>
            <w:pPr>
              <w:pStyle w:val="null3"/>
              <w:ind w:left="420"/>
              <w:jc w:val="both"/>
            </w:pPr>
            <w:r>
              <w:rPr>
                <w:rFonts w:ascii="仿宋_GB2312" w:hAnsi="仿宋_GB2312" w:cs="仿宋_GB2312" w:eastAsia="仿宋_GB2312"/>
                <w:sz w:val="24"/>
              </w:rPr>
              <w:t>40.</w:t>
            </w:r>
            <w:r>
              <w:rPr>
                <w:rFonts w:ascii="仿宋_GB2312" w:hAnsi="仿宋_GB2312" w:cs="仿宋_GB2312" w:eastAsia="仿宋_GB2312"/>
                <w:sz w:val="24"/>
              </w:rPr>
              <w:t>支持教师查看授课班级的学生数据、课堂小测、作业管理、小组管理、学生名单、公告管理和资料管理。学生数据包括班级活跃情况和实训数据，支持查看授课班级下每位学生的在线时长、活跃天数和最近登录时间；支持查看每位学生的实训自动得分、微实验自动得分、学习情况和综合排名，可以批量导出成绩和实训报告至本地；支持查看对应作业的平均分趋势统计。</w:t>
            </w:r>
          </w:p>
          <w:p>
            <w:pPr>
              <w:pStyle w:val="null3"/>
              <w:ind w:left="420"/>
              <w:jc w:val="both"/>
            </w:pPr>
            <w:r>
              <w:rPr>
                <w:rFonts w:ascii="仿宋_GB2312" w:hAnsi="仿宋_GB2312" w:cs="仿宋_GB2312" w:eastAsia="仿宋_GB2312"/>
                <w:sz w:val="24"/>
              </w:rPr>
              <w:t>41.</w:t>
            </w:r>
            <w:r>
              <w:rPr>
                <w:rFonts w:ascii="仿宋_GB2312" w:hAnsi="仿宋_GB2312" w:cs="仿宋_GB2312" w:eastAsia="仿宋_GB2312"/>
                <w:sz w:val="24"/>
              </w:rPr>
              <w:t>课堂小测：（</w:t>
            </w:r>
            <w:r>
              <w:rPr>
                <w:rFonts w:ascii="仿宋_GB2312" w:hAnsi="仿宋_GB2312" w:cs="仿宋_GB2312" w:eastAsia="仿宋_GB2312"/>
                <w:sz w:val="24"/>
              </w:rPr>
              <w:t>1）支持新建课堂小测并关联试卷，可以选择关联课程或者不关联，可以设置小测时间区间和时长及是否允许重复考试；（2）支持将小测设置为可见或不可见状态；（3）支持查看小测数据统计情况，包括应考人数、未考人数、已考人数、及格人数、及格率、学生小测概览情况；（4）支持在小测结束后，下发答案给学生端；</w:t>
            </w:r>
          </w:p>
          <w:p>
            <w:pPr>
              <w:pStyle w:val="null3"/>
              <w:ind w:left="420"/>
              <w:jc w:val="both"/>
            </w:pPr>
            <w:r>
              <w:rPr>
                <w:rFonts w:ascii="仿宋_GB2312" w:hAnsi="仿宋_GB2312" w:cs="仿宋_GB2312" w:eastAsia="仿宋_GB2312"/>
                <w:sz w:val="24"/>
              </w:rPr>
              <w:t>42.</w:t>
            </w:r>
            <w:r>
              <w:rPr>
                <w:rFonts w:ascii="仿宋_GB2312" w:hAnsi="仿宋_GB2312" w:cs="仿宋_GB2312" w:eastAsia="仿宋_GB2312"/>
                <w:sz w:val="24"/>
              </w:rPr>
              <w:t>作业管理：（</w:t>
            </w:r>
            <w:r>
              <w:rPr>
                <w:rFonts w:ascii="仿宋_GB2312" w:hAnsi="仿宋_GB2312" w:cs="仿宋_GB2312" w:eastAsia="仿宋_GB2312"/>
                <w:sz w:val="24"/>
              </w:rPr>
              <w:t>1）作业分组，教师可以指定学生以小组的方式完成作业，小组支持随机分配，也支持指定成员进行分组；（2）支持教师布置作业，设置作业截止时间；（3）支持学生上传作业，学生可以查看自己的得分详情；（4）支持教师打分并提交评语，批改完成后可以公布成绩，教师可以查看作业的完成情况和学生作业详情"；</w:t>
            </w:r>
          </w:p>
          <w:p>
            <w:pPr>
              <w:pStyle w:val="null3"/>
              <w:ind w:left="420"/>
              <w:jc w:val="both"/>
            </w:pPr>
            <w:r>
              <w:rPr>
                <w:rFonts w:ascii="仿宋_GB2312" w:hAnsi="仿宋_GB2312" w:cs="仿宋_GB2312" w:eastAsia="仿宋_GB2312"/>
                <w:sz w:val="24"/>
              </w:rPr>
              <w:t>43.</w:t>
            </w:r>
            <w:r>
              <w:rPr>
                <w:rFonts w:ascii="仿宋_GB2312" w:hAnsi="仿宋_GB2312" w:cs="仿宋_GB2312" w:eastAsia="仿宋_GB2312"/>
                <w:sz w:val="24"/>
              </w:rPr>
              <w:t>小组管理：支持新建分组，可以设置分组方式为自组或随机生成分组；学生名单：支持查看授课班级下的学生名单；公告管理：支持新建公告，并设置公告可见范围，在可见范围内的授课班级学生将会收到公告；资料管理：支持上传资料，并设置资料课件范围，在可见范围内的授课班级学生将允许查看或下载资料；</w:t>
            </w:r>
          </w:p>
          <w:p>
            <w:pPr>
              <w:pStyle w:val="null3"/>
              <w:ind w:left="420"/>
              <w:jc w:val="both"/>
            </w:pPr>
            <w:r>
              <w:rPr>
                <w:rFonts w:ascii="仿宋_GB2312" w:hAnsi="仿宋_GB2312" w:cs="仿宋_GB2312" w:eastAsia="仿宋_GB2312"/>
                <w:sz w:val="24"/>
              </w:rPr>
              <w:t>44.</w:t>
            </w:r>
            <w:r>
              <w:rPr>
                <w:rFonts w:ascii="仿宋_GB2312" w:hAnsi="仿宋_GB2312" w:cs="仿宋_GB2312" w:eastAsia="仿宋_GB2312"/>
                <w:sz w:val="24"/>
              </w:rPr>
              <w:t>试卷管理：支持教师查看公共试卷，并允许预览试卷、将试卷创建为小测、查看试卷相关小测</w:t>
            </w:r>
          </w:p>
          <w:p>
            <w:pPr>
              <w:pStyle w:val="null3"/>
              <w:jc w:val="both"/>
            </w:pPr>
            <w:r>
              <w:rPr>
                <w:rFonts w:ascii="仿宋_GB2312" w:hAnsi="仿宋_GB2312" w:cs="仿宋_GB2312" w:eastAsia="仿宋_GB2312"/>
                <w:sz w:val="24"/>
              </w:rPr>
              <w:t>系统及其他参数</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45.</w:t>
            </w:r>
            <w:r>
              <w:rPr>
                <w:rFonts w:ascii="仿宋_GB2312" w:hAnsi="仿宋_GB2312" w:cs="仿宋_GB2312" w:eastAsia="仿宋_GB2312"/>
                <w:sz w:val="24"/>
              </w:rPr>
              <w:t>系统采用</w:t>
            </w:r>
            <w:r>
              <w:rPr>
                <w:rFonts w:ascii="仿宋_GB2312" w:hAnsi="仿宋_GB2312" w:cs="仿宋_GB2312" w:eastAsia="仿宋_GB2312"/>
                <w:sz w:val="24"/>
              </w:rPr>
              <w:t>B/S（Browser/Server）架构，支持跨平台使用，支持当前各种主流浏览器访问，支持基于校园网、互联网的应用，不限地理位置，可随时在线使用；</w:t>
            </w:r>
          </w:p>
          <w:p>
            <w:pPr>
              <w:pStyle w:val="null3"/>
              <w:ind w:left="420"/>
              <w:jc w:val="both"/>
            </w:pPr>
            <w:r>
              <w:rPr>
                <w:rFonts w:ascii="仿宋_GB2312" w:hAnsi="仿宋_GB2312" w:cs="仿宋_GB2312" w:eastAsia="仿宋_GB2312"/>
                <w:sz w:val="24"/>
              </w:rPr>
              <w:t>46.</w:t>
            </w:r>
            <w:r>
              <w:rPr>
                <w:rFonts w:ascii="仿宋_GB2312" w:hAnsi="仿宋_GB2312" w:cs="仿宋_GB2312" w:eastAsia="仿宋_GB2312"/>
                <w:sz w:val="24"/>
              </w:rPr>
              <w:t>系统无用户</w:t>
            </w:r>
            <w:r>
              <w:rPr>
                <w:rFonts w:ascii="仿宋_GB2312" w:hAnsi="仿宋_GB2312" w:cs="仿宋_GB2312" w:eastAsia="仿宋_GB2312"/>
                <w:sz w:val="24"/>
              </w:rPr>
              <w:t>数量</w:t>
            </w:r>
            <w:r>
              <w:rPr>
                <w:rFonts w:ascii="仿宋_GB2312" w:hAnsi="仿宋_GB2312" w:cs="仿宋_GB2312" w:eastAsia="仿宋_GB2312"/>
                <w:sz w:val="24"/>
              </w:rPr>
              <w:t>限制，支持多用户并发访问，可支持多人同时在线使用；</w:t>
            </w:r>
          </w:p>
          <w:p>
            <w:pPr>
              <w:pStyle w:val="null3"/>
            </w:pPr>
            <w:r>
              <w:rPr>
                <w:rFonts w:ascii="仿宋_GB2312" w:hAnsi="仿宋_GB2312" w:cs="仿宋_GB2312" w:eastAsia="仿宋_GB2312"/>
                <w:sz w:val="24"/>
              </w:rPr>
              <w:t>47.</w:t>
            </w:r>
            <w:r>
              <w:rPr>
                <w:rFonts w:ascii="仿宋_GB2312" w:hAnsi="仿宋_GB2312" w:cs="仿宋_GB2312" w:eastAsia="仿宋_GB2312"/>
                <w:sz w:val="24"/>
              </w:rPr>
              <w:t>平台须与用户现有操作系统平台兼容（华为鲲鹏）</w:t>
            </w:r>
            <w:r>
              <w:rPr>
                <w:rFonts w:ascii="仿宋_GB2312" w:hAnsi="仿宋_GB2312" w:cs="仿宋_GB2312" w:eastAsia="仿宋_GB2312"/>
                <w:sz w:val="24"/>
                <w:b/>
              </w:rPr>
              <w:t>（</w:t>
            </w:r>
            <w:r>
              <w:rPr>
                <w:rFonts w:ascii="仿宋_GB2312" w:hAnsi="仿宋_GB2312" w:cs="仿宋_GB2312" w:eastAsia="仿宋_GB2312"/>
                <w:sz w:val="24"/>
                <w:b/>
              </w:rPr>
              <w:t>供应商</w:t>
            </w:r>
            <w:r>
              <w:rPr>
                <w:rFonts w:ascii="仿宋_GB2312" w:hAnsi="仿宋_GB2312" w:cs="仿宋_GB2312" w:eastAsia="仿宋_GB2312"/>
                <w:sz w:val="24"/>
                <w:b/>
              </w:rPr>
              <w:t>提供</w:t>
            </w:r>
            <w:r>
              <w:rPr>
                <w:rFonts w:ascii="仿宋_GB2312" w:hAnsi="仿宋_GB2312" w:cs="仿宋_GB2312" w:eastAsia="仿宋_GB2312"/>
                <w:sz w:val="24"/>
                <w:b/>
              </w:rPr>
              <w:t>平台和操作系统兼容</w:t>
            </w:r>
            <w:r>
              <w:rPr>
                <w:rFonts w:ascii="仿宋_GB2312" w:hAnsi="仿宋_GB2312" w:cs="仿宋_GB2312" w:eastAsia="仿宋_GB2312"/>
                <w:sz w:val="24"/>
                <w:b/>
              </w:rPr>
              <w:t>承诺函</w:t>
            </w:r>
            <w:r>
              <w:rPr>
                <w:rFonts w:ascii="仿宋_GB2312" w:hAnsi="仿宋_GB2312" w:cs="仿宋_GB2312" w:eastAsia="仿宋_GB2312"/>
                <w:sz w:val="24"/>
                <w:b/>
              </w:rPr>
              <w:t>，</w:t>
            </w:r>
            <w:r>
              <w:rPr>
                <w:rFonts w:ascii="仿宋_GB2312" w:hAnsi="仿宋_GB2312" w:cs="仿宋_GB2312" w:eastAsia="仿宋_GB2312"/>
                <w:sz w:val="24"/>
                <w:b/>
              </w:rPr>
              <w:t>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tc>
      </w:tr>
    </w:tbl>
    <w:p>
      <w:pPr>
        <w:pStyle w:val="null3"/>
      </w:pPr>
      <w:r>
        <w:rPr>
          <w:rFonts w:ascii="仿宋_GB2312" w:hAnsi="仿宋_GB2312" w:cs="仿宋_GB2312" w:eastAsia="仿宋_GB2312"/>
        </w:rPr>
        <w:t>标的名称：wind 数据模块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wind 数据模块</w:t>
            </w:r>
            <w:r>
              <w:rPr>
                <w:rFonts w:ascii="仿宋_GB2312" w:hAnsi="仿宋_GB2312" w:cs="仿宋_GB2312" w:eastAsia="仿宋_GB2312"/>
                <w:sz w:val="24"/>
                <w:b/>
                <w:color w:val="000000"/>
              </w:rPr>
              <w:t>：</w:t>
            </w:r>
          </w:p>
          <w:p>
            <w:pPr>
              <w:pStyle w:val="null3"/>
              <w:ind w:left="420"/>
              <w:jc w:val="both"/>
            </w:pPr>
            <w:r>
              <w:rPr>
                <w:rFonts w:ascii="仿宋_GB2312" w:hAnsi="仿宋_GB2312" w:cs="仿宋_GB2312" w:eastAsia="仿宋_GB2312"/>
                <w:sz w:val="24"/>
              </w:rPr>
              <w:t>48.</w:t>
            </w:r>
            <w:r>
              <w:rPr>
                <w:rFonts w:ascii="仿宋_GB2312" w:hAnsi="仿宋_GB2312" w:cs="仿宋_GB2312" w:eastAsia="仿宋_GB2312"/>
                <w:sz w:val="24"/>
                <w:color w:val="000000"/>
              </w:rPr>
              <w:t>具有股票资讯、股票行情、投资机会、多维数据、专题统计、专项应用等功能；</w:t>
            </w:r>
          </w:p>
          <w:p>
            <w:pPr>
              <w:pStyle w:val="null3"/>
              <w:ind w:left="420"/>
              <w:jc w:val="both"/>
            </w:pPr>
            <w:r>
              <w:rPr>
                <w:rFonts w:ascii="仿宋_GB2312" w:hAnsi="仿宋_GB2312" w:cs="仿宋_GB2312" w:eastAsia="仿宋_GB2312"/>
                <w:sz w:val="24"/>
              </w:rPr>
              <w:t>49.</w:t>
            </w:r>
            <w:r>
              <w:rPr>
                <w:rFonts w:ascii="仿宋_GB2312" w:hAnsi="仿宋_GB2312" w:cs="仿宋_GB2312" w:eastAsia="仿宋_GB2312"/>
                <w:sz w:val="24"/>
                <w:color w:val="000000"/>
              </w:rPr>
              <w:t>具有债券资讯、债券市场、资金市场、衍生品市场、多维数据、专题统计等功能；</w:t>
            </w:r>
          </w:p>
          <w:p>
            <w:pPr>
              <w:pStyle w:val="null3"/>
              <w:ind w:left="420"/>
              <w:jc w:val="both"/>
            </w:pPr>
            <w:r>
              <w:rPr>
                <w:rFonts w:ascii="仿宋_GB2312" w:hAnsi="仿宋_GB2312" w:cs="仿宋_GB2312" w:eastAsia="仿宋_GB2312"/>
                <w:sz w:val="24"/>
              </w:rPr>
              <w:t>50.</w:t>
            </w:r>
            <w:r>
              <w:rPr>
                <w:rFonts w:ascii="仿宋_GB2312" w:hAnsi="仿宋_GB2312" w:cs="仿宋_GB2312" w:eastAsia="仿宋_GB2312"/>
                <w:sz w:val="24"/>
                <w:color w:val="000000"/>
              </w:rPr>
              <w:t>具有商品资讯、商品行情、全球商品、多维数据、专题统计、商品分析工具、期权分析工具等功能；</w:t>
            </w:r>
          </w:p>
          <w:p>
            <w:pPr>
              <w:pStyle w:val="null3"/>
              <w:ind w:left="420"/>
              <w:jc w:val="both"/>
            </w:pPr>
            <w:r>
              <w:rPr>
                <w:rFonts w:ascii="仿宋_GB2312" w:hAnsi="仿宋_GB2312" w:cs="仿宋_GB2312" w:eastAsia="仿宋_GB2312"/>
                <w:sz w:val="24"/>
              </w:rPr>
              <w:t>51.</w:t>
            </w:r>
            <w:r>
              <w:rPr>
                <w:rFonts w:ascii="仿宋_GB2312" w:hAnsi="仿宋_GB2312" w:cs="仿宋_GB2312" w:eastAsia="仿宋_GB2312"/>
                <w:sz w:val="24"/>
                <w:color w:val="000000"/>
              </w:rPr>
              <w:t>具有交易资讯、国际外汇、人民币外汇、专题统计、汇率分析工具等功能；</w:t>
            </w:r>
          </w:p>
          <w:p>
            <w:pPr>
              <w:pStyle w:val="null3"/>
              <w:ind w:left="420"/>
              <w:jc w:val="both"/>
            </w:pPr>
            <w:r>
              <w:rPr>
                <w:rFonts w:ascii="仿宋_GB2312" w:hAnsi="仿宋_GB2312" w:cs="仿宋_GB2312" w:eastAsia="仿宋_GB2312"/>
                <w:sz w:val="24"/>
              </w:rPr>
              <w:t>52.</w:t>
            </w:r>
            <w:r>
              <w:rPr>
                <w:rFonts w:ascii="仿宋_GB2312" w:hAnsi="仿宋_GB2312" w:cs="仿宋_GB2312" w:eastAsia="仿宋_GB2312"/>
                <w:sz w:val="24"/>
                <w:color w:val="000000"/>
              </w:rPr>
              <w:t>具有基金资讯、业绩排行、多维数据专题统计、其他理财等功能；</w:t>
            </w:r>
          </w:p>
          <w:p>
            <w:pPr>
              <w:pStyle w:val="null3"/>
              <w:ind w:left="420"/>
              <w:jc w:val="both"/>
            </w:pPr>
            <w:r>
              <w:rPr>
                <w:rFonts w:ascii="仿宋_GB2312" w:hAnsi="仿宋_GB2312" w:cs="仿宋_GB2312" w:eastAsia="仿宋_GB2312"/>
                <w:sz w:val="24"/>
              </w:rPr>
              <w:t>53.</w:t>
            </w:r>
            <w:r>
              <w:rPr>
                <w:rFonts w:ascii="仿宋_GB2312" w:hAnsi="仿宋_GB2312" w:cs="仿宋_GB2312" w:eastAsia="仿宋_GB2312"/>
                <w:sz w:val="24"/>
                <w:color w:val="000000"/>
              </w:rPr>
              <w:t>具有股指期货、股票指数、债券指数、基金指数、商品指数、全球指数指数分析工具等功能；</w:t>
            </w:r>
          </w:p>
          <w:p>
            <w:pPr>
              <w:pStyle w:val="null3"/>
              <w:ind w:left="420"/>
              <w:jc w:val="both"/>
            </w:pPr>
            <w:r>
              <w:rPr>
                <w:rFonts w:ascii="仿宋_GB2312" w:hAnsi="仿宋_GB2312" w:cs="仿宋_GB2312" w:eastAsia="仿宋_GB2312"/>
                <w:sz w:val="24"/>
              </w:rPr>
              <w:t>54.</w:t>
            </w:r>
            <w:r>
              <w:rPr>
                <w:rFonts w:ascii="仿宋_GB2312" w:hAnsi="仿宋_GB2312" w:cs="仿宋_GB2312" w:eastAsia="仿宋_GB2312"/>
                <w:sz w:val="24"/>
                <w:color w:val="000000"/>
              </w:rPr>
              <w:t>具有宏观资讯、专题统计、行业经济效益、企业绩效评价、中国土地大全、</w:t>
            </w:r>
            <w:r>
              <w:rPr>
                <w:rFonts w:ascii="仿宋_GB2312" w:hAnsi="仿宋_GB2312" w:cs="仿宋_GB2312" w:eastAsia="仿宋_GB2312"/>
                <w:sz w:val="24"/>
                <w:color w:val="000000"/>
              </w:rPr>
              <w:t>PPP专题库等功能；</w:t>
            </w:r>
          </w:p>
          <w:p>
            <w:pPr>
              <w:pStyle w:val="null3"/>
              <w:ind w:left="420"/>
              <w:jc w:val="both"/>
            </w:pPr>
            <w:r>
              <w:rPr>
                <w:rFonts w:ascii="仿宋_GB2312" w:hAnsi="仿宋_GB2312" w:cs="仿宋_GB2312" w:eastAsia="仿宋_GB2312"/>
                <w:sz w:val="24"/>
              </w:rPr>
              <w:t>55.</w:t>
            </w:r>
            <w:r>
              <w:rPr>
                <w:rFonts w:ascii="仿宋_GB2312" w:hAnsi="仿宋_GB2312" w:cs="仿宋_GB2312" w:eastAsia="仿宋_GB2312"/>
                <w:sz w:val="24"/>
                <w:color w:val="000000"/>
              </w:rPr>
              <w:t>具有资产管理、投资组合管理、风险管理、交易系统、估值核算等功能；</w:t>
            </w:r>
          </w:p>
          <w:p>
            <w:pPr>
              <w:pStyle w:val="null3"/>
            </w:pPr>
            <w:r>
              <w:rPr>
                <w:rFonts w:ascii="仿宋_GB2312" w:hAnsi="仿宋_GB2312" w:cs="仿宋_GB2312" w:eastAsia="仿宋_GB2312"/>
                <w:sz w:val="24"/>
              </w:rPr>
              <w:t>56.</w:t>
            </w:r>
            <w:r>
              <w:rPr>
                <w:rFonts w:ascii="仿宋_GB2312" w:hAnsi="仿宋_GB2312" w:cs="仿宋_GB2312" w:eastAsia="仿宋_GB2312"/>
                <w:sz w:val="24"/>
              </w:rPr>
              <w:t>具有财经新闻、公司公告、法律法规、每日简报等功能；</w:t>
            </w:r>
          </w:p>
        </w:tc>
      </w:tr>
    </w:tbl>
    <w:p>
      <w:pPr>
        <w:pStyle w:val="null3"/>
      </w:pPr>
      <w:r>
        <w:rPr>
          <w:rFonts w:ascii="仿宋_GB2312" w:hAnsi="仿宋_GB2312" w:cs="仿宋_GB2312" w:eastAsia="仿宋_GB2312"/>
        </w:rPr>
        <w:t>标的名称：学生机配件1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57.</w:t>
            </w:r>
            <w:r>
              <w:rPr>
                <w:rFonts w:ascii="仿宋_GB2312" w:hAnsi="仿宋_GB2312" w:cs="仿宋_GB2312" w:eastAsia="仿宋_GB2312"/>
                <w:sz w:val="24"/>
              </w:rPr>
              <w:t>学生机配件1</w:t>
            </w:r>
            <w:r>
              <w:rPr>
                <w:rFonts w:ascii="仿宋_GB2312" w:hAnsi="仿宋_GB2312" w:cs="仿宋_GB2312" w:eastAsia="仿宋_GB2312"/>
                <w:sz w:val="24"/>
              </w:rPr>
              <w:t>（</w:t>
            </w:r>
            <w:r>
              <w:rPr>
                <w:rFonts w:ascii="仿宋_GB2312" w:hAnsi="仿宋_GB2312" w:cs="仿宋_GB2312" w:eastAsia="仿宋_GB2312"/>
                <w:sz w:val="24"/>
              </w:rPr>
              <w:t>每台</w:t>
            </w:r>
            <w:r>
              <w:rPr>
                <w:rFonts w:ascii="仿宋_GB2312" w:hAnsi="仿宋_GB2312" w:cs="仿宋_GB2312" w:eastAsia="仿宋_GB2312"/>
                <w:sz w:val="24"/>
              </w:rPr>
              <w:t>）</w:t>
            </w:r>
            <w:r>
              <w:rPr>
                <w:rFonts w:ascii="仿宋_GB2312" w:hAnsi="仿宋_GB2312" w:cs="仿宋_GB2312" w:eastAsia="仿宋_GB2312"/>
                <w:sz w:val="24"/>
              </w:rPr>
              <w:t>改造</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8G</w:t>
            </w:r>
            <w:r>
              <w:rPr>
                <w:rFonts w:ascii="仿宋_GB2312" w:hAnsi="仿宋_GB2312" w:cs="仿宋_GB2312" w:eastAsia="仿宋_GB2312"/>
                <w:sz w:val="24"/>
              </w:rPr>
              <w:t xml:space="preserve"> </w:t>
            </w:r>
            <w:r>
              <w:rPr>
                <w:rFonts w:ascii="仿宋_GB2312" w:hAnsi="仿宋_GB2312" w:cs="仿宋_GB2312" w:eastAsia="仿宋_GB2312"/>
                <w:sz w:val="24"/>
              </w:rPr>
              <w:t>DDR4;</w:t>
            </w:r>
          </w:p>
        </w:tc>
      </w:tr>
    </w:tbl>
    <w:p>
      <w:pPr>
        <w:pStyle w:val="null3"/>
      </w:pPr>
      <w:r>
        <w:rPr>
          <w:rFonts w:ascii="仿宋_GB2312" w:hAnsi="仿宋_GB2312" w:cs="仿宋_GB2312" w:eastAsia="仿宋_GB2312"/>
        </w:rPr>
        <w:t>标的名称：学生机配件2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58.</w:t>
            </w:r>
            <w:r>
              <w:rPr>
                <w:rFonts w:ascii="仿宋_GB2312" w:hAnsi="仿宋_GB2312" w:cs="仿宋_GB2312" w:eastAsia="仿宋_GB2312"/>
                <w:sz w:val="24"/>
              </w:rPr>
              <w:t>学生机配件2</w:t>
            </w:r>
            <w:r>
              <w:rPr>
                <w:rFonts w:ascii="仿宋_GB2312" w:hAnsi="仿宋_GB2312" w:cs="仿宋_GB2312" w:eastAsia="仿宋_GB2312"/>
                <w:sz w:val="24"/>
              </w:rPr>
              <w:t>（</w:t>
            </w:r>
            <w:r>
              <w:rPr>
                <w:rFonts w:ascii="仿宋_GB2312" w:hAnsi="仿宋_GB2312" w:cs="仿宋_GB2312" w:eastAsia="仿宋_GB2312"/>
                <w:sz w:val="24"/>
              </w:rPr>
              <w:t>每台</w:t>
            </w:r>
            <w:r>
              <w:rPr>
                <w:rFonts w:ascii="仿宋_GB2312" w:hAnsi="仿宋_GB2312" w:cs="仿宋_GB2312" w:eastAsia="仿宋_GB2312"/>
                <w:sz w:val="24"/>
              </w:rPr>
              <w:t>）</w:t>
            </w:r>
            <w:r>
              <w:rPr>
                <w:rFonts w:ascii="仿宋_GB2312" w:hAnsi="仿宋_GB2312" w:cs="仿宋_GB2312" w:eastAsia="仿宋_GB2312"/>
                <w:sz w:val="24"/>
              </w:rPr>
              <w:t>改造</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固态硬盘</w:t>
            </w:r>
            <w:r>
              <w:rPr>
                <w:rFonts w:ascii="仿宋_GB2312" w:hAnsi="仿宋_GB2312" w:cs="仿宋_GB2312" w:eastAsia="仿宋_GB2312"/>
                <w:sz w:val="24"/>
              </w:rPr>
              <w:t>≥</w:t>
            </w:r>
            <w:r>
              <w:rPr>
                <w:rFonts w:ascii="仿宋_GB2312" w:hAnsi="仿宋_GB2312" w:cs="仿宋_GB2312" w:eastAsia="仿宋_GB2312"/>
                <w:sz w:val="24"/>
              </w:rPr>
              <w:t>256</w:t>
            </w:r>
            <w:r>
              <w:rPr>
                <w:rFonts w:ascii="仿宋_GB2312" w:hAnsi="仿宋_GB2312" w:cs="仿宋_GB2312" w:eastAsia="仿宋_GB2312"/>
              </w:rPr>
              <w:t xml:space="preserve"> </w:t>
            </w:r>
            <w:r>
              <w:rPr>
                <w:rFonts w:ascii="仿宋_GB2312" w:hAnsi="仿宋_GB2312" w:cs="仿宋_GB2312" w:eastAsia="仿宋_GB2312"/>
                <w:sz w:val="24"/>
              </w:rPr>
              <w:t>GB</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标的名称：教师机配件1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59.</w:t>
            </w:r>
            <w:r>
              <w:rPr>
                <w:rFonts w:ascii="仿宋_GB2312" w:hAnsi="仿宋_GB2312" w:cs="仿宋_GB2312" w:eastAsia="仿宋_GB2312"/>
                <w:sz w:val="24"/>
              </w:rPr>
              <w:t>教师机配件1</w:t>
            </w:r>
            <w:r>
              <w:rPr>
                <w:rFonts w:ascii="仿宋_GB2312" w:hAnsi="仿宋_GB2312" w:cs="仿宋_GB2312" w:eastAsia="仿宋_GB2312"/>
                <w:sz w:val="24"/>
              </w:rPr>
              <w:t>（</w:t>
            </w:r>
            <w:r>
              <w:rPr>
                <w:rFonts w:ascii="仿宋_GB2312" w:hAnsi="仿宋_GB2312" w:cs="仿宋_GB2312" w:eastAsia="仿宋_GB2312"/>
                <w:sz w:val="24"/>
              </w:rPr>
              <w:t>每台</w:t>
            </w:r>
            <w:r>
              <w:rPr>
                <w:rFonts w:ascii="仿宋_GB2312" w:hAnsi="仿宋_GB2312" w:cs="仿宋_GB2312" w:eastAsia="仿宋_GB2312"/>
                <w:sz w:val="24"/>
              </w:rPr>
              <w:t>）</w:t>
            </w:r>
            <w:r>
              <w:rPr>
                <w:rFonts w:ascii="仿宋_GB2312" w:hAnsi="仿宋_GB2312" w:cs="仿宋_GB2312" w:eastAsia="仿宋_GB2312"/>
                <w:sz w:val="24"/>
              </w:rPr>
              <w:t>改造</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16G</w:t>
            </w:r>
            <w:r>
              <w:rPr>
                <w:rFonts w:ascii="仿宋_GB2312" w:hAnsi="仿宋_GB2312" w:cs="仿宋_GB2312" w:eastAsia="仿宋_GB2312"/>
                <w:sz w:val="24"/>
              </w:rPr>
              <w:t xml:space="preserve"> </w:t>
            </w:r>
            <w:r>
              <w:rPr>
                <w:rFonts w:ascii="仿宋_GB2312" w:hAnsi="仿宋_GB2312" w:cs="仿宋_GB2312" w:eastAsia="仿宋_GB2312"/>
                <w:sz w:val="24"/>
              </w:rPr>
              <w:t>DDR4;</w:t>
            </w:r>
          </w:p>
        </w:tc>
      </w:tr>
    </w:tbl>
    <w:p>
      <w:pPr>
        <w:pStyle w:val="null3"/>
      </w:pPr>
      <w:r>
        <w:rPr>
          <w:rFonts w:ascii="仿宋_GB2312" w:hAnsi="仿宋_GB2312" w:cs="仿宋_GB2312" w:eastAsia="仿宋_GB2312"/>
        </w:rPr>
        <w:t>标的名称：教师机配件2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60.</w:t>
            </w:r>
            <w:r>
              <w:rPr>
                <w:rFonts w:ascii="仿宋_GB2312" w:hAnsi="仿宋_GB2312" w:cs="仿宋_GB2312" w:eastAsia="仿宋_GB2312"/>
                <w:sz w:val="24"/>
              </w:rPr>
              <w:t>教师机配件2</w:t>
            </w:r>
            <w:r>
              <w:rPr>
                <w:rFonts w:ascii="仿宋_GB2312" w:hAnsi="仿宋_GB2312" w:cs="仿宋_GB2312" w:eastAsia="仿宋_GB2312"/>
                <w:sz w:val="24"/>
              </w:rPr>
              <w:t>（</w:t>
            </w:r>
            <w:r>
              <w:rPr>
                <w:rFonts w:ascii="仿宋_GB2312" w:hAnsi="仿宋_GB2312" w:cs="仿宋_GB2312" w:eastAsia="仿宋_GB2312"/>
                <w:sz w:val="24"/>
              </w:rPr>
              <w:t>每台</w:t>
            </w:r>
            <w:r>
              <w:rPr>
                <w:rFonts w:ascii="仿宋_GB2312" w:hAnsi="仿宋_GB2312" w:cs="仿宋_GB2312" w:eastAsia="仿宋_GB2312"/>
                <w:sz w:val="24"/>
              </w:rPr>
              <w:t>）</w:t>
            </w:r>
            <w:r>
              <w:rPr>
                <w:rFonts w:ascii="仿宋_GB2312" w:hAnsi="仿宋_GB2312" w:cs="仿宋_GB2312" w:eastAsia="仿宋_GB2312"/>
                <w:sz w:val="24"/>
              </w:rPr>
              <w:t>改造</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固态硬盘</w:t>
            </w:r>
            <w:r>
              <w:rPr>
                <w:rFonts w:ascii="仿宋_GB2312" w:hAnsi="仿宋_GB2312" w:cs="仿宋_GB2312" w:eastAsia="仿宋_GB2312"/>
                <w:sz w:val="24"/>
              </w:rPr>
              <w:t>≥</w:t>
            </w:r>
            <w:r>
              <w:rPr>
                <w:rFonts w:ascii="仿宋_GB2312" w:hAnsi="仿宋_GB2312" w:cs="仿宋_GB2312" w:eastAsia="仿宋_GB2312"/>
                <w:sz w:val="24"/>
              </w:rPr>
              <w:t>512</w:t>
            </w:r>
            <w:r>
              <w:rPr>
                <w:rFonts w:ascii="仿宋_GB2312" w:hAnsi="仿宋_GB2312" w:cs="仿宋_GB2312" w:eastAsia="仿宋_GB2312"/>
              </w:rPr>
              <w:t xml:space="preserve"> </w:t>
            </w:r>
            <w:r>
              <w:rPr>
                <w:rFonts w:ascii="仿宋_GB2312" w:hAnsi="仿宋_GB2312" w:cs="仿宋_GB2312" w:eastAsia="仿宋_GB2312"/>
                <w:sz w:val="24"/>
              </w:rPr>
              <w:t>GB；</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标的名称：数智化展示设备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一、硬件支撑设备</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（一）数智化展示设备</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整体尺寸</w:t>
            </w:r>
            <w:r>
              <w:rPr>
                <w:rFonts w:ascii="仿宋_GB2312" w:hAnsi="仿宋_GB2312" w:cs="仿宋_GB2312" w:eastAsia="仿宋_GB2312"/>
                <w:sz w:val="24"/>
              </w:rPr>
              <w:t>≥7.3㎡：约宽3520mm*高2080mm，分辨率：≥2288*1352点；高清全彩LED，1.53mm≤点间距；模组分辨率：≥208点×104点；模组尺寸：320mm×160mm；箱体要求：压铸铝箱；平整度：≤0.1mm；拼接缝隙≤0.05mm；支持单点（逐点）亮度/色度校正,支持出厂校正；最大亮度:≥600cd/m2；换帧频率:FH≥60Hz，支持120Hz等3D显示技术；刷新频率：Fc≥3840Hz；水平、垂直视角：水平视角≥175°，垂直视角≥175°；外壳防护等级：≥IP32；防尘≥IP5X；发光点中心距偏差：≤2%；</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亮度均匀性：</w:t>
            </w:r>
            <w:r>
              <w:rPr>
                <w:rFonts w:ascii="仿宋_GB2312" w:hAnsi="仿宋_GB2312" w:cs="仿宋_GB2312" w:eastAsia="仿宋_GB2312"/>
                <w:sz w:val="24"/>
              </w:rPr>
              <w:t>≥99%；</w:t>
            </w:r>
          </w:p>
          <w:p>
            <w:pPr>
              <w:pStyle w:val="null3"/>
            </w:pPr>
            <w:r>
              <w:rPr>
                <w:rFonts w:ascii="仿宋_GB2312" w:hAnsi="仿宋_GB2312" w:cs="仿宋_GB2312" w:eastAsia="仿宋_GB2312"/>
                <w:sz w:val="24"/>
              </w:rPr>
              <w:t>3.</w:t>
            </w:r>
            <w:r>
              <w:rPr>
                <w:rFonts w:ascii="仿宋_GB2312" w:hAnsi="仿宋_GB2312" w:cs="仿宋_GB2312" w:eastAsia="仿宋_GB2312"/>
                <w:sz w:val="24"/>
              </w:rPr>
              <w:t>对比度：</w:t>
            </w:r>
            <w:r>
              <w:rPr>
                <w:rFonts w:ascii="仿宋_GB2312" w:hAnsi="仿宋_GB2312" w:cs="仿宋_GB2312" w:eastAsia="仿宋_GB2312"/>
                <w:sz w:val="24"/>
              </w:rPr>
              <w:t>≥10000:1；电磁兼容测试：无线电骚扰；噪音测试：屏前2米处噪音≤5dB；接地:应有保护接地端子，接地电阻不大于0.1Ω；对地漏电流:对地漏电流应不超过3.5mA/m²（有效值）；数据传输:支持模块级无线连接、支持模组级无线连接；</w:t>
            </w:r>
          </w:p>
        </w:tc>
      </w:tr>
    </w:tbl>
    <w:p>
      <w:pPr>
        <w:pStyle w:val="null3"/>
      </w:pPr>
      <w:r>
        <w:rPr>
          <w:rFonts w:ascii="仿宋_GB2312" w:hAnsi="仿宋_GB2312" w:cs="仿宋_GB2312" w:eastAsia="仿宋_GB2312"/>
        </w:rPr>
        <w:t>标的名称：音频传输设备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（二）音频传输设备：</w:t>
            </w:r>
          </w:p>
          <w:p>
            <w:pPr>
              <w:pStyle w:val="null3"/>
            </w:pPr>
            <w:r>
              <w:rPr>
                <w:rFonts w:ascii="仿宋_GB2312" w:hAnsi="仿宋_GB2312" w:cs="仿宋_GB2312" w:eastAsia="仿宋_GB2312"/>
                <w:sz w:val="24"/>
              </w:rPr>
              <w:t>4.</w:t>
            </w:r>
            <w:r>
              <w:rPr>
                <w:rFonts w:ascii="仿宋_GB2312" w:hAnsi="仿宋_GB2312" w:cs="仿宋_GB2312" w:eastAsia="仿宋_GB2312"/>
                <w:sz w:val="24"/>
              </w:rPr>
              <w:t>频率响应：</w:t>
            </w:r>
            <w:r>
              <w:rPr>
                <w:rFonts w:ascii="仿宋_GB2312" w:hAnsi="仿宋_GB2312" w:cs="仿宋_GB2312" w:eastAsia="仿宋_GB2312"/>
                <w:sz w:val="24"/>
              </w:rPr>
              <w:t>≥45Hz-18KHz；阻抗：8Ω灵敏度：≥90dB；功率放大器；带移频模块，一键切换；带有完善的保护功能，过热，直流，短路保护；输出≥4组端口，可以连接4只8欧的音箱；≥两个无线话筒。</w:t>
            </w:r>
          </w:p>
        </w:tc>
      </w:tr>
    </w:tbl>
    <w:p>
      <w:pPr>
        <w:pStyle w:val="null3"/>
      </w:pPr>
      <w:r>
        <w:rPr>
          <w:rFonts w:ascii="仿宋_GB2312" w:hAnsi="仿宋_GB2312" w:cs="仿宋_GB2312" w:eastAsia="仿宋_GB2312"/>
        </w:rPr>
        <w:t>标的名称：教师讲课用具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（三）教师讲课用具：</w:t>
            </w:r>
          </w:p>
          <w:p>
            <w:pPr>
              <w:pStyle w:val="null3"/>
            </w:pPr>
            <w:r>
              <w:rPr>
                <w:rFonts w:ascii="仿宋_GB2312" w:hAnsi="仿宋_GB2312" w:cs="仿宋_GB2312" w:eastAsia="仿宋_GB2312"/>
                <w:sz w:val="24"/>
              </w:rPr>
              <w:t>5.</w:t>
            </w:r>
            <w:r>
              <w:rPr>
                <w:rFonts w:ascii="仿宋_GB2312" w:hAnsi="仿宋_GB2312" w:cs="仿宋_GB2312" w:eastAsia="仿宋_GB2312"/>
                <w:sz w:val="24"/>
              </w:rPr>
              <w:t>尺寸：长</w:t>
            </w:r>
            <w:r>
              <w:rPr>
                <w:rFonts w:ascii="仿宋_GB2312" w:hAnsi="仿宋_GB2312" w:cs="仿宋_GB2312" w:eastAsia="仿宋_GB2312"/>
                <w:sz w:val="24"/>
              </w:rPr>
              <w:t>*宽*高约700mm*600mm*1100mm。采用环保板材，开放式设计。讲桌配件坚固耐用；接口模块、电源模块都采用独立式安装，强弱电分离；讲台背面黑色亚克力板材质；座椅可旋转、升降，尺寸约510mm*380mm，高度可自由调节920mm-1120mm；PU皮质座垫，金属框架；</w:t>
            </w:r>
          </w:p>
        </w:tc>
      </w:tr>
    </w:tbl>
    <w:p>
      <w:pPr>
        <w:pStyle w:val="null3"/>
      </w:pPr>
      <w:r>
        <w:rPr>
          <w:rFonts w:ascii="仿宋_GB2312" w:hAnsi="仿宋_GB2312" w:cs="仿宋_GB2312" w:eastAsia="仿宋_GB2312"/>
        </w:rPr>
        <w:t>标的名称：学生实习用具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学生实习用具：</w:t>
            </w:r>
          </w:p>
          <w:p>
            <w:pPr>
              <w:pStyle w:val="null3"/>
            </w:pPr>
            <w:r>
              <w:rPr>
                <w:rFonts w:ascii="仿宋_GB2312" w:hAnsi="仿宋_GB2312" w:cs="仿宋_GB2312" w:eastAsia="仿宋_GB2312"/>
                <w:sz w:val="24"/>
              </w:rPr>
              <w:t>6.</w:t>
            </w:r>
            <w:r>
              <w:rPr>
                <w:rFonts w:ascii="仿宋_GB2312" w:hAnsi="仿宋_GB2312" w:cs="仿宋_GB2312" w:eastAsia="仿宋_GB2312"/>
                <w:sz w:val="24"/>
              </w:rPr>
              <w:t>学生凳</w:t>
            </w:r>
            <w:r>
              <w:rPr>
                <w:rFonts w:ascii="仿宋_GB2312" w:hAnsi="仿宋_GB2312" w:cs="仿宋_GB2312" w:eastAsia="仿宋_GB2312"/>
                <w:sz w:val="24"/>
              </w:rPr>
              <w:t>40把，尺寸≥580mm*550mm*860mm，自带小桌板，网面及钢结构；</w:t>
            </w:r>
          </w:p>
        </w:tc>
      </w:tr>
    </w:tbl>
    <w:p>
      <w:pPr>
        <w:pStyle w:val="null3"/>
      </w:pPr>
      <w:r>
        <w:rPr>
          <w:rFonts w:ascii="仿宋_GB2312" w:hAnsi="仿宋_GB2312" w:cs="仿宋_GB2312" w:eastAsia="仿宋_GB2312"/>
        </w:rPr>
        <w:t>标的名称：直播工作站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直播工作站：</w:t>
            </w:r>
          </w:p>
          <w:p>
            <w:pPr>
              <w:pStyle w:val="null3"/>
            </w:pPr>
            <w:r>
              <w:rPr>
                <w:rFonts w:ascii="仿宋_GB2312" w:hAnsi="仿宋_GB2312" w:cs="仿宋_GB2312" w:eastAsia="仿宋_GB2312"/>
                <w:sz w:val="24"/>
              </w:rPr>
              <w:t>7.</w:t>
            </w:r>
            <w:r>
              <w:rPr>
                <w:rFonts w:ascii="仿宋_GB2312" w:hAnsi="仿宋_GB2312" w:cs="仿宋_GB2312" w:eastAsia="仿宋_GB2312"/>
                <w:sz w:val="24"/>
              </w:rPr>
              <w:t>直播工作站：</w:t>
            </w:r>
            <w:r>
              <w:rPr>
                <w:rFonts w:ascii="仿宋_GB2312" w:hAnsi="仿宋_GB2312" w:cs="仿宋_GB2312" w:eastAsia="仿宋_GB2312"/>
                <w:sz w:val="24"/>
              </w:rPr>
              <w:t>CPU:≥8核64位处理器，主频：≥2.3</w:t>
            </w:r>
            <w:r>
              <w:rPr>
                <w:rFonts w:ascii="仿宋_GB2312" w:hAnsi="仿宋_GB2312" w:cs="仿宋_GB2312" w:eastAsia="仿宋_GB2312"/>
                <w:sz w:val="24"/>
              </w:rPr>
              <w:t>GHz</w:t>
            </w:r>
            <w:r>
              <w:rPr>
                <w:rFonts w:ascii="仿宋_GB2312" w:hAnsi="仿宋_GB2312" w:cs="仿宋_GB2312" w:eastAsia="仿宋_GB2312"/>
                <w:sz w:val="24"/>
              </w:rPr>
              <w:t>；内存</w:t>
            </w:r>
            <w:r>
              <w:rPr>
                <w:rFonts w:ascii="仿宋_GB2312" w:hAnsi="仿宋_GB2312" w:cs="仿宋_GB2312" w:eastAsia="仿宋_GB2312"/>
                <w:sz w:val="24"/>
              </w:rPr>
              <w:t>≥32GDDR5；预留4内存槽位，硬盘≥1T固态硬盘；显示器：≥23.8寸液晶显示器，分辨率：≥4K ；</w:t>
            </w:r>
          </w:p>
        </w:tc>
      </w:tr>
    </w:tbl>
    <w:p>
      <w:pPr>
        <w:pStyle w:val="null3"/>
      </w:pPr>
      <w:r>
        <w:rPr>
          <w:rFonts w:ascii="仿宋_GB2312" w:hAnsi="仿宋_GB2312" w:cs="仿宋_GB2312" w:eastAsia="仿宋_GB2312"/>
        </w:rPr>
        <w:t>标的名称：直播设备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直播设备：</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收音麦克风：内置集成声卡，无需安装驱动；配置</w:t>
            </w:r>
            <w:r>
              <w:rPr>
                <w:rFonts w:ascii="仿宋_GB2312" w:hAnsi="仿宋_GB2312" w:cs="仿宋_GB2312" w:eastAsia="仿宋_GB2312"/>
                <w:sz w:val="24"/>
              </w:rPr>
              <w:t>USB数字输出，直接连接台式机、笔记本、手机或PAD即可使用；</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环形</w:t>
            </w:r>
            <w:r>
              <w:rPr>
                <w:rFonts w:ascii="仿宋_GB2312" w:hAnsi="仿宋_GB2312" w:cs="仿宋_GB2312" w:eastAsia="仿宋_GB2312"/>
                <w:sz w:val="24"/>
              </w:rPr>
              <w:t>补光灯：外径尺寸：约</w:t>
            </w:r>
            <w:r>
              <w:rPr>
                <w:rFonts w:ascii="仿宋_GB2312" w:hAnsi="仿宋_GB2312" w:cs="仿宋_GB2312" w:eastAsia="仿宋_GB2312"/>
                <w:sz w:val="24"/>
              </w:rPr>
              <w:t>18寸；功率：≥55W；色温：约5600K。</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直播提词器：具备安卓</w:t>
            </w:r>
            <w:r>
              <w:rPr>
                <w:rFonts w:ascii="仿宋_GB2312" w:hAnsi="仿宋_GB2312" w:cs="仿宋_GB2312" w:eastAsia="仿宋_GB2312"/>
                <w:sz w:val="24"/>
              </w:rPr>
              <w:t>/IOS系统APP端；具备蓝牙遥控器；提词清晰明了。</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直播补光套装：包含功率</w:t>
            </w:r>
            <w:r>
              <w:rPr>
                <w:rFonts w:ascii="仿宋_GB2312" w:hAnsi="仿宋_GB2312" w:cs="仿宋_GB2312" w:eastAsia="仿宋_GB2312"/>
                <w:sz w:val="24"/>
              </w:rPr>
              <w:t>≥100瓦时太阳灯、两用灯架、四角柔光箱；</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直播台：材质：橡胶木、含尺寸</w:t>
            </w:r>
            <w:r>
              <w:rPr>
                <w:rFonts w:ascii="仿宋_GB2312" w:hAnsi="仿宋_GB2312" w:cs="仿宋_GB2312" w:eastAsia="仿宋_GB2312"/>
                <w:sz w:val="24"/>
              </w:rPr>
              <w:t>≥520mm*470*mm*880mm，含椅子1个；智能直播台：≥55寸LED液晶显示屏，≥8核64位处理器，主频：≥2.8；≥8GBRAM+128GROM存储；</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绿幕：摄影背景布视频拍摄绿幕抠像布补光灯摄影棚拍照背景纯色绿布背景套装道具</w:t>
            </w:r>
            <w:r>
              <w:rPr>
                <w:rFonts w:ascii="仿宋_GB2312" w:hAnsi="仿宋_GB2312" w:cs="仿宋_GB2312" w:eastAsia="仿宋_GB2312"/>
                <w:sz w:val="24"/>
              </w:rPr>
              <w:t>3米*2米绿色。</w:t>
            </w:r>
          </w:p>
        </w:tc>
      </w:tr>
    </w:tbl>
    <w:p>
      <w:pPr>
        <w:pStyle w:val="null3"/>
      </w:pPr>
      <w:r>
        <w:rPr>
          <w:rFonts w:ascii="仿宋_GB2312" w:hAnsi="仿宋_GB2312" w:cs="仿宋_GB2312" w:eastAsia="仿宋_GB2312"/>
        </w:rPr>
        <w:t>标的名称：网络交互传输设备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）网络交互传输设备：</w:t>
            </w:r>
          </w:p>
          <w:p>
            <w:pPr>
              <w:pStyle w:val="null3"/>
            </w:pPr>
            <w:r>
              <w:rPr>
                <w:rFonts w:ascii="仿宋_GB2312" w:hAnsi="仿宋_GB2312" w:cs="仿宋_GB2312" w:eastAsia="仿宋_GB2312"/>
                <w:sz w:val="24"/>
              </w:rPr>
              <w:t>14.</w:t>
            </w:r>
            <w:r>
              <w:rPr>
                <w:rFonts w:ascii="仿宋_GB2312" w:hAnsi="仿宋_GB2312" w:cs="仿宋_GB2312" w:eastAsia="仿宋_GB2312"/>
                <w:sz w:val="24"/>
              </w:rPr>
              <w:t>数据交换处理设备</w:t>
            </w:r>
            <w:r>
              <w:rPr>
                <w:rFonts w:ascii="仿宋_GB2312" w:hAnsi="仿宋_GB2312" w:cs="仿宋_GB2312" w:eastAsia="仿宋_GB2312"/>
                <w:sz w:val="24"/>
              </w:rPr>
              <w:t>1台：端口类型：≥24个10/100/1000Mbps以太网电口，支持PoE供电；无线路由器具有LAN输出口：千兆网口；WAN接入口：千兆网口；天线：管理方式：APP管理和WEB页面；</w:t>
            </w:r>
          </w:p>
        </w:tc>
      </w:tr>
    </w:tbl>
    <w:p>
      <w:pPr>
        <w:pStyle w:val="null3"/>
      </w:pPr>
      <w:r>
        <w:rPr>
          <w:rFonts w:ascii="仿宋_GB2312" w:hAnsi="仿宋_GB2312" w:cs="仿宋_GB2312" w:eastAsia="仿宋_GB2312"/>
        </w:rPr>
        <w:t>标的名称：文化产业管理大数据实验分析系统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二、文化产业管理大数据实验分析</w:t>
            </w:r>
            <w:r>
              <w:rPr>
                <w:rFonts w:ascii="仿宋_GB2312" w:hAnsi="仿宋_GB2312" w:cs="仿宋_GB2312" w:eastAsia="仿宋_GB2312"/>
                <w:sz w:val="24"/>
                <w:b/>
              </w:rPr>
              <w:t>系统</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大数据可视化系统：</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数据处理：包含但不限于数据上传、数据集成与数据连接。要求数据上传支持数据文件类型不少于</w:t>
            </w:r>
            <w:r>
              <w:rPr>
                <w:rFonts w:ascii="仿宋_GB2312" w:hAnsi="仿宋_GB2312" w:cs="仿宋_GB2312" w:eastAsia="仿宋_GB2312"/>
                <w:sz w:val="24"/>
              </w:rPr>
              <w:t>2种，包括但不限于Excel、CSV。上传数据后，可对数据进行预览。预览数据时，可以查询数据表的使用概况，数据集的来源概况，以及血缘关系图，支持最大化与最小化预览数据。要求数据集成支持多种数据表之间的数据关联和数据追加。用户可预览数据、查询表和数据集的关联情况。要求数据连接支持连接不少于5类数据源，包括但不限于MySQL、Oracle、SQLServer、JDBC、ODBC，提供搭建表关系，设置筛选条件，建立数据模型。</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数据加工。兼容多样数据集合自定义处理功能，具体涵盖：类别标注、格式转化、信息过滤、域归类、运算域追加，具备查看数据表与集合的关联性及变更日志的能力。</w:t>
            </w:r>
          </w:p>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rPr>
              <w:t>数据提取。可依据限定条件与运算式进行数据提取，筛选内容可选自多元动态上下文信息，例如使用者名称、机构标识、对外显示</w:t>
            </w:r>
            <w:r>
              <w:rPr>
                <w:rFonts w:ascii="仿宋_GB2312" w:hAnsi="仿宋_GB2312" w:cs="仿宋_GB2312" w:eastAsia="仿宋_GB2312"/>
                <w:sz w:val="24"/>
              </w:rPr>
              <w:t>名称</w:t>
            </w:r>
            <w:r>
              <w:rPr>
                <w:rFonts w:ascii="仿宋_GB2312" w:hAnsi="仿宋_GB2312" w:cs="仿宋_GB2312" w:eastAsia="仿宋_GB2312"/>
                <w:sz w:val="24"/>
              </w:rPr>
              <w:t>、组织单元、权限角色、移动电话、部门通讯号或枚举清单。</w:t>
            </w:r>
          </w:p>
          <w:p>
            <w:pPr>
              <w:pStyle w:val="null3"/>
              <w:ind w:left="420"/>
              <w:jc w:val="both"/>
            </w:pPr>
            <w:r>
              <w:rPr>
                <w:rFonts w:ascii="仿宋_GB2312" w:hAnsi="仿宋_GB2312" w:cs="仿宋_GB2312" w:eastAsia="仿宋_GB2312"/>
                <w:sz w:val="24"/>
              </w:rPr>
              <w:t>18.</w:t>
            </w:r>
            <w:r>
              <w:rPr>
                <w:rFonts w:ascii="仿宋_GB2312" w:hAnsi="仿宋_GB2312" w:cs="仿宋_GB2312" w:eastAsia="仿宋_GB2312"/>
                <w:sz w:val="24"/>
              </w:rPr>
              <w:t>数据整理。支持多种数据整合和清洗操作，支持通过</w:t>
            </w:r>
            <w:r>
              <w:rPr>
                <w:rFonts w:ascii="仿宋_GB2312" w:hAnsi="仿宋_GB2312" w:cs="仿宋_GB2312" w:eastAsia="仿宋_GB2312"/>
                <w:sz w:val="24"/>
              </w:rPr>
              <w:t>SQL生成复杂数据集。支持实时数据获取和多种物化规则设置。</w:t>
            </w:r>
          </w:p>
          <w:p>
            <w:pPr>
              <w:pStyle w:val="null3"/>
              <w:ind w:left="420"/>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数据关联。支持对不少于</w:t>
            </w:r>
            <w:r>
              <w:rPr>
                <w:rFonts w:ascii="仿宋_GB2312" w:hAnsi="仿宋_GB2312" w:cs="仿宋_GB2312" w:eastAsia="仿宋_GB2312"/>
                <w:sz w:val="24"/>
              </w:rPr>
              <w:t>3类数据源，包括但不限于企业数据库、填报数据、本地数据的不同表设置关联；支持不少于4种关联方式，包括但不限于内关联、左关联、右关联、全关联；支持构建union数据集；支持自动和手动字段匹配。</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20.</w:t>
            </w:r>
            <w:r>
              <w:rPr>
                <w:rFonts w:ascii="仿宋_GB2312" w:hAnsi="仿宋_GB2312" w:cs="仿宋_GB2312" w:eastAsia="仿宋_GB2312"/>
                <w:sz w:val="24"/>
              </w:rPr>
              <w:t>数据转换加工。支持多种数据集自定义操作，包括但不限于类型指定、类型转换、数据筛选、字段分组、计算字段添加，支持查看表和数据集的关联关系及更新记录。</w:t>
            </w:r>
          </w:p>
          <w:p>
            <w:pPr>
              <w:pStyle w:val="null3"/>
              <w:ind w:left="420"/>
              <w:jc w:val="both"/>
            </w:pPr>
            <w:r>
              <w:rPr>
                <w:rFonts w:ascii="仿宋_GB2312" w:hAnsi="仿宋_GB2312" w:cs="仿宋_GB2312" w:eastAsia="仿宋_GB2312"/>
                <w:sz w:val="24"/>
              </w:rPr>
              <w:t>21.</w:t>
            </w:r>
            <w:r>
              <w:rPr>
                <w:rFonts w:ascii="仿宋_GB2312" w:hAnsi="仿宋_GB2312" w:cs="仿宋_GB2312" w:eastAsia="仿宋_GB2312"/>
                <w:sz w:val="24"/>
              </w:rPr>
              <w:t>数据筛选。支持通过条件筛选和公式筛选等进行数据过滤，筛选值支持选择多种动态变量，包括但不限于用户名、租户名称、显示名、部门、角色、手机、部门电话或枚举值。</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rPr>
              <w:t>数据物化。支持实时连接和物化模式，物化频率可设置至少</w:t>
            </w:r>
            <w:r>
              <w:rPr>
                <w:rFonts w:ascii="仿宋_GB2312" w:hAnsi="仿宋_GB2312" w:cs="仿宋_GB2312" w:eastAsia="仿宋_GB2312"/>
                <w:sz w:val="24"/>
              </w:rPr>
              <w:t>4个级别，包括但不限于天、时、分、秒，支持设置物化开始和截止时间。选择物化后系统定时从各个业务数据库把数据抽取到系统，并按照一定频率进行更新。</w:t>
            </w:r>
          </w:p>
          <w:p>
            <w:pPr>
              <w:pStyle w:val="null3"/>
              <w:ind w:left="420"/>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数据辅助计算：包括但不限于辅助线、预警线与自定义多层钻取。要求辅助线与预警线支持多预警级别设置，预警推送支持至少</w:t>
            </w:r>
            <w:r>
              <w:rPr>
                <w:rFonts w:ascii="仿宋_GB2312" w:hAnsi="仿宋_GB2312" w:cs="仿宋_GB2312" w:eastAsia="仿宋_GB2312"/>
                <w:sz w:val="24"/>
              </w:rPr>
              <w:t>4种媒介，包括但不限于系统信息、短信、微信服务号、邮箱。要求自定义多层钻取支持自定义钻取路径，支持多种图形样式自定义，支持引入echarts第三方图表。</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23.</w:t>
            </w:r>
            <w:r>
              <w:rPr>
                <w:rFonts w:ascii="仿宋_GB2312" w:hAnsi="仿宋_GB2312" w:cs="仿宋_GB2312" w:eastAsia="仿宋_GB2312"/>
                <w:sz w:val="24"/>
              </w:rPr>
              <w:t>个性化多重钻取。容许自定义钻取路径，提供对多种图形式样的自定义功能，支持接入第三方图形组件。</w:t>
            </w:r>
          </w:p>
          <w:p>
            <w:pPr>
              <w:pStyle w:val="null3"/>
              <w:ind w:left="420"/>
              <w:jc w:val="both"/>
            </w:pPr>
            <w:r>
              <w:rPr>
                <w:rFonts w:ascii="仿宋_GB2312" w:hAnsi="仿宋_GB2312" w:cs="仿宋_GB2312" w:eastAsia="仿宋_GB2312"/>
                <w:sz w:val="24"/>
              </w:rPr>
              <w:t>24.</w:t>
            </w:r>
            <w:r>
              <w:rPr>
                <w:rFonts w:ascii="仿宋_GB2312" w:hAnsi="仿宋_GB2312" w:cs="仿宋_GB2312" w:eastAsia="仿宋_GB2312"/>
                <w:sz w:val="24"/>
              </w:rPr>
              <w:t>图表参数设置。支持至少</w:t>
            </w:r>
            <w:r>
              <w:rPr>
                <w:rFonts w:ascii="仿宋_GB2312" w:hAnsi="仿宋_GB2312" w:cs="仿宋_GB2312" w:eastAsia="仿宋_GB2312"/>
                <w:sz w:val="24"/>
              </w:rPr>
              <w:t>5种图表样式设置，包括但不限于名称、缩放比例、前缀、后缀、条件格式，支持坐标轴标题和单位设置。</w:t>
            </w:r>
          </w:p>
          <w:p>
            <w:pPr>
              <w:pStyle w:val="null3"/>
              <w:ind w:left="420"/>
              <w:jc w:val="both"/>
            </w:pPr>
            <w:r>
              <w:rPr>
                <w:rFonts w:ascii="仿宋_GB2312" w:hAnsi="仿宋_GB2312" w:cs="仿宋_GB2312" w:eastAsia="仿宋_GB2312"/>
                <w:sz w:val="24"/>
              </w:rPr>
              <w:t>25.</w:t>
            </w:r>
            <w:r>
              <w:rPr>
                <w:rFonts w:ascii="仿宋_GB2312" w:hAnsi="仿宋_GB2312" w:cs="仿宋_GB2312" w:eastAsia="仿宋_GB2312"/>
                <w:sz w:val="24"/>
              </w:rPr>
              <w:t>可视化看板。支持创建综合分析界面，支持多种联动方式，支持故事板分页和灵活布局。</w:t>
            </w:r>
          </w:p>
          <w:p>
            <w:pPr>
              <w:pStyle w:val="null3"/>
              <w:ind w:left="420"/>
              <w:jc w:val="both"/>
            </w:pPr>
            <w:r>
              <w:rPr>
                <w:rFonts w:ascii="仿宋_GB2312" w:hAnsi="仿宋_GB2312" w:cs="仿宋_GB2312" w:eastAsia="仿宋_GB2312"/>
                <w:sz w:val="24"/>
              </w:rPr>
              <w:t>26.</w:t>
            </w:r>
            <w:r>
              <w:rPr>
                <w:rFonts w:ascii="仿宋_GB2312" w:hAnsi="仿宋_GB2312" w:cs="仿宋_GB2312" w:eastAsia="仿宋_GB2312"/>
                <w:sz w:val="24"/>
              </w:rPr>
              <w:t>可视化看板控件。包含至少</w:t>
            </w:r>
            <w:r>
              <w:rPr>
                <w:rFonts w:ascii="仿宋_GB2312" w:hAnsi="仿宋_GB2312" w:cs="仿宋_GB2312" w:eastAsia="仿宋_GB2312"/>
                <w:sz w:val="24"/>
              </w:rPr>
              <w:t>6种控件，包括但不限于过滤器、层级过滤器、文本、图片、嵌入URL、标签；支持至少3种图片格式，包括但不限于png、jpg、gif。</w:t>
            </w:r>
          </w:p>
          <w:p>
            <w:pPr>
              <w:pStyle w:val="null3"/>
              <w:ind w:left="420"/>
              <w:jc w:val="both"/>
            </w:pPr>
            <w:r>
              <w:rPr>
                <w:rFonts w:ascii="仿宋_GB2312" w:hAnsi="仿宋_GB2312" w:cs="仿宋_GB2312" w:eastAsia="仿宋_GB2312"/>
                <w:sz w:val="24"/>
              </w:rPr>
              <w:t>27.</w:t>
            </w:r>
            <w:r>
              <w:rPr>
                <w:rFonts w:ascii="仿宋_GB2312" w:hAnsi="仿宋_GB2312" w:cs="仿宋_GB2312" w:eastAsia="仿宋_GB2312"/>
                <w:sz w:val="24"/>
              </w:rPr>
              <w:t>平台具有</w:t>
            </w:r>
            <w:r>
              <w:rPr>
                <w:rFonts w:ascii="仿宋_GB2312" w:hAnsi="仿宋_GB2312" w:cs="仿宋_GB2312" w:eastAsia="仿宋_GB2312"/>
                <w:sz w:val="24"/>
              </w:rPr>
              <w:t>IPA分析法及语义差异法，包含至少2个分析维度，包括但不限于指标重要性、指标感知度。</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rPr>
              <w:t>平台提供旅游</w:t>
            </w:r>
            <w:r>
              <w:rPr>
                <w:rFonts w:ascii="仿宋_GB2312" w:hAnsi="仿宋_GB2312" w:cs="仿宋_GB2312" w:eastAsia="仿宋_GB2312"/>
                <w:sz w:val="24"/>
              </w:rPr>
              <w:t>PEST分析与旅游案例分析。要求旅游PEST分析包含至少6个宏观环境指标，包括但不限于国民收入、人均可支配收入、人口总量及结构、铁路运输、5A景区情况、住宿餐饮。要求旅游案例分析至少包含①基础分析体现了全域旅游的整体分析内容。②定量定性分析应用IPA量化分析及定量分析SD分析法，解析全域旅游发展中，旅游对景区景点的关注度。</w:t>
            </w:r>
          </w:p>
          <w:p>
            <w:pPr>
              <w:pStyle w:val="null3"/>
              <w:ind w:left="420"/>
              <w:jc w:val="both"/>
            </w:pPr>
            <w:r>
              <w:rPr>
                <w:rFonts w:ascii="仿宋_GB2312" w:hAnsi="仿宋_GB2312" w:cs="仿宋_GB2312" w:eastAsia="仿宋_GB2312"/>
                <w:sz w:val="24"/>
              </w:rPr>
              <w:t>28.</w:t>
            </w:r>
            <w:r>
              <w:rPr>
                <w:rFonts w:ascii="仿宋_GB2312" w:hAnsi="仿宋_GB2312" w:cs="仿宋_GB2312" w:eastAsia="仿宋_GB2312"/>
                <w:sz w:val="24"/>
              </w:rPr>
              <w:t>平台提供至少</w:t>
            </w:r>
            <w:r>
              <w:rPr>
                <w:rFonts w:ascii="仿宋_GB2312" w:hAnsi="仿宋_GB2312" w:cs="仿宋_GB2312" w:eastAsia="仿宋_GB2312"/>
                <w:sz w:val="24"/>
              </w:rPr>
              <w:t>3类游客特征分析，包括但不限于出游时间、游客构成、境外游客接待，支持自定义可视化大屏和驾驶舱管理。</w:t>
            </w:r>
          </w:p>
          <w:p>
            <w:pPr>
              <w:pStyle w:val="null3"/>
              <w:jc w:val="both"/>
            </w:pPr>
            <w:r>
              <w:rPr>
                <w:rFonts w:ascii="仿宋_GB2312" w:hAnsi="仿宋_GB2312" w:cs="仿宋_GB2312" w:eastAsia="仿宋_GB2312"/>
                <w:sz w:val="24"/>
              </w:rPr>
              <w:t>课程模块功能：</w:t>
            </w:r>
          </w:p>
          <w:p>
            <w:pPr>
              <w:pStyle w:val="null3"/>
              <w:ind w:left="420"/>
              <w:jc w:val="both"/>
            </w:pPr>
            <w:r>
              <w:rPr>
                <w:rFonts w:ascii="仿宋_GB2312" w:hAnsi="仿宋_GB2312" w:cs="仿宋_GB2312" w:eastAsia="仿宋_GB2312"/>
                <w:sz w:val="24"/>
              </w:rPr>
              <w:t>29.</w:t>
            </w:r>
            <w:r>
              <w:rPr>
                <w:rFonts w:ascii="仿宋_GB2312" w:hAnsi="仿宋_GB2312" w:cs="仿宋_GB2312" w:eastAsia="仿宋_GB2312"/>
                <w:sz w:val="24"/>
              </w:rPr>
              <w:t>包含至少</w:t>
            </w:r>
            <w:r>
              <w:rPr>
                <w:rFonts w:ascii="仿宋_GB2312" w:hAnsi="仿宋_GB2312" w:cs="仿宋_GB2312" w:eastAsia="仿宋_GB2312"/>
                <w:sz w:val="24"/>
              </w:rPr>
              <w:t>5个大数据技术知识点，包括但不限于技术发展、理论知识、数据预处理、数据清洗、数据采集，涵盖Python基础应用。</w:t>
            </w:r>
          </w:p>
          <w:p>
            <w:pPr>
              <w:pStyle w:val="null3"/>
              <w:ind w:left="420"/>
              <w:jc w:val="both"/>
            </w:pPr>
            <w:r>
              <w:rPr>
                <w:rFonts w:ascii="仿宋_GB2312" w:hAnsi="仿宋_GB2312" w:cs="仿宋_GB2312" w:eastAsia="仿宋_GB2312"/>
                <w:sz w:val="24"/>
              </w:rPr>
              <w:t>30.</w:t>
            </w:r>
            <w:r>
              <w:rPr>
                <w:rFonts w:ascii="仿宋_GB2312" w:hAnsi="仿宋_GB2312" w:cs="仿宋_GB2312" w:eastAsia="仿宋_GB2312"/>
                <w:sz w:val="24"/>
              </w:rPr>
              <w:t>包含至少</w:t>
            </w:r>
            <w:r>
              <w:rPr>
                <w:rFonts w:ascii="仿宋_GB2312" w:hAnsi="仿宋_GB2312" w:cs="仿宋_GB2312" w:eastAsia="仿宋_GB2312"/>
                <w:sz w:val="24"/>
              </w:rPr>
              <w:t>4个旅游经济价值维度，包括但不限于经济增长、就业机会、外汇收入、地区发展，涵盖至少3种分析方法，包括但不限于游客感知理论、SD语义差异法、定性与定量分析。</w:t>
            </w:r>
          </w:p>
          <w:p>
            <w:pPr>
              <w:pStyle w:val="null3"/>
              <w:ind w:left="420"/>
              <w:jc w:val="both"/>
            </w:pPr>
            <w:r>
              <w:rPr>
                <w:rFonts w:ascii="仿宋_GB2312" w:hAnsi="仿宋_GB2312" w:cs="仿宋_GB2312" w:eastAsia="仿宋_GB2312"/>
                <w:sz w:val="24"/>
              </w:rPr>
              <w:t>31.</w:t>
            </w:r>
            <w:r>
              <w:rPr>
                <w:rFonts w:ascii="仿宋_GB2312" w:hAnsi="仿宋_GB2312" w:cs="仿宋_GB2312" w:eastAsia="仿宋_GB2312"/>
                <w:sz w:val="24"/>
              </w:rPr>
              <w:t>旅游经济分析方法论包括但不限于数据采集、网络爬虫、数据预处理、数据文本分析、数据可视化：</w:t>
            </w:r>
            <w:r>
              <w:rPr>
                <w:rFonts w:ascii="仿宋_GB2312" w:hAnsi="仿宋_GB2312" w:cs="仿宋_GB2312" w:eastAsia="仿宋_GB2312"/>
                <w:sz w:val="24"/>
              </w:rPr>
              <w:t>①网络爬虫：支持Python代码实战；②数据预处理：支持数据清洗操作；③数据文本分析：支持情感评分分析；④数据可视化：支持至少3种图表，包括但不限于词云图、热力图、坐标图。</w:t>
            </w:r>
          </w:p>
          <w:p>
            <w:pPr>
              <w:pStyle w:val="null3"/>
              <w:ind w:left="420"/>
              <w:jc w:val="both"/>
            </w:pPr>
            <w:r>
              <w:rPr>
                <w:rFonts w:ascii="仿宋_GB2312" w:hAnsi="仿宋_GB2312" w:cs="仿宋_GB2312" w:eastAsia="仿宋_GB2312"/>
                <w:sz w:val="24"/>
              </w:rPr>
              <w:t>32.</w:t>
            </w:r>
            <w:r>
              <w:rPr>
                <w:rFonts w:ascii="仿宋_GB2312" w:hAnsi="仿宋_GB2312" w:cs="仿宋_GB2312" w:eastAsia="仿宋_GB2312"/>
                <w:sz w:val="24"/>
              </w:rPr>
              <w:t>旅游行业环境分析，应用</w:t>
            </w:r>
            <w:r>
              <w:rPr>
                <w:rFonts w:ascii="仿宋_GB2312" w:hAnsi="仿宋_GB2312" w:cs="仿宋_GB2312" w:eastAsia="仿宋_GB2312"/>
                <w:sz w:val="24"/>
              </w:rPr>
              <w:t>PEST理论分析4大外部环境因素，包括但不限于政治、经济、社会、技术。</w:t>
            </w:r>
          </w:p>
          <w:p>
            <w:pPr>
              <w:pStyle w:val="null3"/>
              <w:ind w:left="420"/>
              <w:jc w:val="both"/>
            </w:pPr>
            <w:r>
              <w:rPr>
                <w:rFonts w:ascii="仿宋_GB2312" w:hAnsi="仿宋_GB2312" w:cs="仿宋_GB2312" w:eastAsia="仿宋_GB2312"/>
                <w:sz w:val="24"/>
              </w:rPr>
              <w:t>33.</w:t>
            </w:r>
            <w:r>
              <w:rPr>
                <w:rFonts w:ascii="仿宋_GB2312" w:hAnsi="仿宋_GB2312" w:cs="仿宋_GB2312" w:eastAsia="仿宋_GB2312"/>
                <w:sz w:val="24"/>
              </w:rPr>
              <w:t>综合案例分析：</w:t>
            </w:r>
            <w:r>
              <w:rPr>
                <w:rFonts w:ascii="仿宋_GB2312" w:hAnsi="仿宋_GB2312" w:cs="仿宋_GB2312" w:eastAsia="仿宋_GB2312"/>
                <w:sz w:val="24"/>
              </w:rPr>
              <w:t>①包含全域旅游整体分析；②应用至少2种分析方法，包括但不限于IPA量化分析、SD分析法。</w:t>
            </w:r>
          </w:p>
          <w:p>
            <w:pPr>
              <w:pStyle w:val="null3"/>
              <w:jc w:val="both"/>
            </w:pPr>
            <w:r>
              <w:rPr>
                <w:rFonts w:ascii="仿宋_GB2312" w:hAnsi="仿宋_GB2312" w:cs="仿宋_GB2312" w:eastAsia="仿宋_GB2312"/>
                <w:sz w:val="24"/>
              </w:rPr>
              <w:t>实践项目模块功能：</w:t>
            </w:r>
          </w:p>
          <w:p>
            <w:pPr>
              <w:pStyle w:val="null3"/>
              <w:ind w:left="420"/>
              <w:jc w:val="both"/>
            </w:pPr>
            <w:r>
              <w:rPr>
                <w:rFonts w:ascii="仿宋_GB2312" w:hAnsi="仿宋_GB2312" w:cs="仿宋_GB2312" w:eastAsia="仿宋_GB2312"/>
                <w:sz w:val="24"/>
              </w:rPr>
              <w:t>34.</w:t>
            </w:r>
            <w:r>
              <w:rPr>
                <w:rFonts w:ascii="仿宋_GB2312" w:hAnsi="仿宋_GB2312" w:cs="仿宋_GB2312" w:eastAsia="仿宋_GB2312"/>
                <w:sz w:val="24"/>
              </w:rPr>
              <w:t>大数据分析初体验：包含大数据技术发展及旅游大数据理论知识讲解及大数据分析工具实践初体验。介绍了大数据技术及在旅游中的应用、结构化与非结构化数据数据预处理、数据清洗、数据采集概念、常见工作流程、设计思路和规范，对</w:t>
            </w:r>
            <w:r>
              <w:rPr>
                <w:rFonts w:ascii="仿宋_GB2312" w:hAnsi="仿宋_GB2312" w:cs="仿宋_GB2312" w:eastAsia="仿宋_GB2312"/>
                <w:sz w:val="24"/>
              </w:rPr>
              <w:t>Python基础应用进行讲解与实践。</w:t>
            </w:r>
          </w:p>
          <w:p>
            <w:pPr>
              <w:pStyle w:val="null3"/>
              <w:ind w:left="420"/>
              <w:jc w:val="both"/>
            </w:pPr>
            <w:r>
              <w:rPr>
                <w:rFonts w:ascii="仿宋_GB2312" w:hAnsi="仿宋_GB2312" w:cs="仿宋_GB2312" w:eastAsia="仿宋_GB2312"/>
                <w:sz w:val="24"/>
              </w:rPr>
              <w:t>35.</w:t>
            </w:r>
            <w:r>
              <w:rPr>
                <w:rFonts w:ascii="仿宋_GB2312" w:hAnsi="仿宋_GB2312" w:cs="仿宋_GB2312" w:eastAsia="仿宋_GB2312"/>
                <w:sz w:val="24"/>
              </w:rPr>
              <w:t>大数据与旅游经济，介绍大数据概念及对旅游经济价值，从经济增长、就业机会、外汇收入、地区发展四个方面介绍大数据对旅游经济的价值；大数据技术在旅游行业中的应用；大数据旅游经济相关理论，从游客感知理论到</w:t>
            </w:r>
            <w:r>
              <w:rPr>
                <w:rFonts w:ascii="仿宋_GB2312" w:hAnsi="仿宋_GB2312" w:cs="仿宋_GB2312" w:eastAsia="仿宋_GB2312"/>
                <w:sz w:val="24"/>
              </w:rPr>
              <w:t>SD语义差异法、定性与定量分析等理论。</w:t>
            </w:r>
          </w:p>
          <w:p>
            <w:pPr>
              <w:pStyle w:val="null3"/>
              <w:ind w:left="420"/>
              <w:jc w:val="both"/>
            </w:pPr>
            <w:r>
              <w:rPr>
                <w:rFonts w:ascii="仿宋_GB2312" w:hAnsi="仿宋_GB2312" w:cs="仿宋_GB2312" w:eastAsia="仿宋_GB2312"/>
                <w:sz w:val="24"/>
              </w:rPr>
              <w:t>36.</w:t>
            </w:r>
            <w:r>
              <w:rPr>
                <w:rFonts w:ascii="仿宋_GB2312" w:hAnsi="仿宋_GB2312" w:cs="仿宋_GB2312" w:eastAsia="仿宋_GB2312"/>
                <w:sz w:val="24"/>
              </w:rPr>
              <w:t>旅游经济分析方法论，从数据采集、网络爬虫、数据预处理、数据文本分析、数据集成、数据可视化和大数据分析五步法展开讲解相关理论及应用实践。</w:t>
            </w:r>
            <w:r>
              <w:rPr>
                <w:rFonts w:ascii="仿宋_GB2312" w:hAnsi="仿宋_GB2312" w:cs="仿宋_GB2312" w:eastAsia="仿宋_GB2312"/>
                <w:sz w:val="24"/>
              </w:rPr>
              <w:t>①网络爬虫：应用Python代码来进行实战演练；②数据预处理：进行数据清洗操作；③数据文本分析：应用Python代码对数据进行情感评分分析，从评论数据中，挖掘出对企业发展有用的信息，进一步为企业的战略发展做规划。④数据可视化：通过Python代码来进行数据可视化学习，展示为词云图、热力图、坐标图。</w:t>
            </w:r>
          </w:p>
          <w:p>
            <w:pPr>
              <w:pStyle w:val="null3"/>
              <w:ind w:left="420"/>
              <w:jc w:val="both"/>
            </w:pPr>
            <w:r>
              <w:rPr>
                <w:rFonts w:ascii="仿宋_GB2312" w:hAnsi="仿宋_GB2312" w:cs="仿宋_GB2312" w:eastAsia="仿宋_GB2312"/>
                <w:sz w:val="24"/>
              </w:rPr>
              <w:t>37.</w:t>
            </w:r>
            <w:r>
              <w:rPr>
                <w:rFonts w:ascii="仿宋_GB2312" w:hAnsi="仿宋_GB2312" w:cs="仿宋_GB2312" w:eastAsia="仿宋_GB2312"/>
                <w:sz w:val="24"/>
              </w:rPr>
              <w:t>旅游行业环境分析，应用</w:t>
            </w:r>
            <w:r>
              <w:rPr>
                <w:rFonts w:ascii="仿宋_GB2312" w:hAnsi="仿宋_GB2312" w:cs="仿宋_GB2312" w:eastAsia="仿宋_GB2312"/>
                <w:sz w:val="24"/>
              </w:rPr>
              <w:t>PEST理论分析，从宏观经济角度根据旅游行业特性对政治（Political）、经济（Economic）、社会（Social）和技术（Technological）这四大类影响企业的主要外部环境因素进行理论分析及应用实践。</w:t>
            </w:r>
          </w:p>
          <w:p>
            <w:pPr>
              <w:pStyle w:val="null3"/>
              <w:ind w:left="420"/>
              <w:jc w:val="both"/>
            </w:pPr>
            <w:r>
              <w:rPr>
                <w:rFonts w:ascii="仿宋_GB2312" w:hAnsi="仿宋_GB2312" w:cs="仿宋_GB2312" w:eastAsia="仿宋_GB2312"/>
                <w:sz w:val="24"/>
              </w:rPr>
              <w:t>38.</w:t>
            </w:r>
            <w:r>
              <w:rPr>
                <w:rFonts w:ascii="仿宋_GB2312" w:hAnsi="仿宋_GB2312" w:cs="仿宋_GB2312" w:eastAsia="仿宋_GB2312"/>
                <w:sz w:val="24"/>
              </w:rPr>
              <w:t>综合案例分析，北京旅游案例分析，包括基础分析及定量定性分析。</w:t>
            </w:r>
          </w:p>
          <w:p>
            <w:pPr>
              <w:pStyle w:val="null3"/>
              <w:jc w:val="both"/>
            </w:pPr>
            <w:r>
              <w:rPr>
                <w:rFonts w:ascii="仿宋_GB2312" w:hAnsi="仿宋_GB2312" w:cs="仿宋_GB2312" w:eastAsia="仿宋_GB2312"/>
                <w:sz w:val="24"/>
              </w:rPr>
              <w:t>教学运行平台功能：</w:t>
            </w:r>
          </w:p>
          <w:p>
            <w:pPr>
              <w:pStyle w:val="null3"/>
              <w:ind w:left="420"/>
              <w:jc w:val="both"/>
            </w:pPr>
            <w:r>
              <w:rPr>
                <w:rFonts w:ascii="仿宋_GB2312" w:hAnsi="仿宋_GB2312" w:cs="仿宋_GB2312" w:eastAsia="仿宋_GB2312"/>
                <w:sz w:val="24"/>
              </w:rPr>
              <w:t>39.</w:t>
            </w:r>
            <w:r>
              <w:rPr>
                <w:rFonts w:ascii="仿宋_GB2312" w:hAnsi="仿宋_GB2312" w:cs="仿宋_GB2312" w:eastAsia="仿宋_GB2312"/>
                <w:sz w:val="24"/>
              </w:rPr>
              <w:t>▲</w:t>
            </w:r>
            <w:r>
              <w:rPr>
                <w:rFonts w:ascii="仿宋_GB2312" w:hAnsi="仿宋_GB2312" w:cs="仿宋_GB2312" w:eastAsia="仿宋_GB2312"/>
                <w:sz w:val="24"/>
              </w:rPr>
              <w:t>应具备数智化角色工作台功能，提供不少于</w:t>
            </w:r>
            <w:r>
              <w:rPr>
                <w:rFonts w:ascii="仿宋_GB2312" w:hAnsi="仿宋_GB2312" w:cs="仿宋_GB2312" w:eastAsia="仿宋_GB2312"/>
                <w:sz w:val="24"/>
              </w:rPr>
              <w:t>4类工作台，包括但不限于学习工作台、教学工作台、课开工作台、管理员工作台，支持用户登录后快捷切换不同角色、不同工作台；至少包含学生的待办事项，结合当前已开设、正在开设课程进行智能项目推荐。</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40.</w:t>
            </w:r>
            <w:r>
              <w:rPr>
                <w:rFonts w:ascii="仿宋_GB2312" w:hAnsi="仿宋_GB2312" w:cs="仿宋_GB2312" w:eastAsia="仿宋_GB2312"/>
                <w:sz w:val="24"/>
              </w:rPr>
              <w:t>应具备多类型教学辅助工具，提供不少于</w:t>
            </w:r>
            <w:r>
              <w:rPr>
                <w:rFonts w:ascii="仿宋_GB2312" w:hAnsi="仿宋_GB2312" w:cs="仿宋_GB2312" w:eastAsia="仿宋_GB2312"/>
                <w:sz w:val="24"/>
              </w:rPr>
              <w:t>10种教学组件，包括但不限于文档、视频、富文本、互动式课件、随堂测验、作业、团队成果、仿真试题任务、VR任务、文案任务、实践任务；提供不少于5种教学互动工具，包括但不限于投票、讨论、问答、弹幕、笔记等，互动过程中系统可自动屏蔽部分网络非文明用语，以*号显示。</w:t>
            </w:r>
          </w:p>
          <w:p>
            <w:pPr>
              <w:pStyle w:val="null3"/>
              <w:ind w:left="420"/>
              <w:jc w:val="both"/>
            </w:pPr>
            <w:r>
              <w:rPr>
                <w:rFonts w:ascii="仿宋_GB2312" w:hAnsi="仿宋_GB2312" w:cs="仿宋_GB2312" w:eastAsia="仿宋_GB2312"/>
                <w:sz w:val="24"/>
              </w:rPr>
              <w:t>41.</w:t>
            </w:r>
            <w:r>
              <w:rPr>
                <w:rFonts w:ascii="仿宋_GB2312" w:hAnsi="仿宋_GB2312" w:cs="仿宋_GB2312" w:eastAsia="仿宋_GB2312"/>
                <w:sz w:val="24"/>
              </w:rPr>
              <w:t>教学任务推送支持不少于</w:t>
            </w:r>
            <w:r>
              <w:rPr>
                <w:rFonts w:ascii="仿宋_GB2312" w:hAnsi="仿宋_GB2312" w:cs="仿宋_GB2312" w:eastAsia="仿宋_GB2312"/>
                <w:sz w:val="24"/>
              </w:rPr>
              <w:t>2种模式，包括但不限于自由、闯关两种模式。闯关模式需支持任务锁定功能，至少包含明确锁定标识，可按项目单独控制是否为闯关模式。</w:t>
            </w:r>
          </w:p>
          <w:p>
            <w:pPr>
              <w:pStyle w:val="null3"/>
              <w:ind w:left="420"/>
              <w:jc w:val="both"/>
            </w:pPr>
            <w:r>
              <w:rPr>
                <w:rFonts w:ascii="仿宋_GB2312" w:hAnsi="仿宋_GB2312" w:cs="仿宋_GB2312" w:eastAsia="仿宋_GB2312"/>
                <w:sz w:val="24"/>
              </w:rPr>
              <w:t>42.</w:t>
            </w:r>
            <w:r>
              <w:rPr>
                <w:rFonts w:ascii="仿宋_GB2312" w:hAnsi="仿宋_GB2312" w:cs="仿宋_GB2312" w:eastAsia="仿宋_GB2312"/>
                <w:sz w:val="24"/>
              </w:rPr>
              <w:t>应具备灵活的教学设计服务，教师可实时调整课堂内容，至少包含</w:t>
            </w:r>
            <w:r>
              <w:rPr>
                <w:rFonts w:ascii="仿宋_GB2312" w:hAnsi="仿宋_GB2312" w:cs="仿宋_GB2312" w:eastAsia="仿宋_GB2312"/>
                <w:sz w:val="24"/>
              </w:rPr>
              <w:t>5类教学组件，包括但不限于视频任务、文档任务、富文本、网页链接、作业任务用于自定义添加和调整。作业任务支持修改，包括但不限于作业名称、描述、评分方式；团队成果支持3种评分方式，包括但不限于教师评分、组间互评、组内互评；随堂测验支持修改，包括但不限于测验名称、答题限时。</w:t>
            </w:r>
          </w:p>
          <w:p>
            <w:pPr>
              <w:pStyle w:val="null3"/>
              <w:ind w:left="420"/>
              <w:jc w:val="both"/>
            </w:pPr>
            <w:r>
              <w:rPr>
                <w:rFonts w:ascii="仿宋_GB2312" w:hAnsi="仿宋_GB2312" w:cs="仿宋_GB2312" w:eastAsia="仿宋_GB2312"/>
                <w:sz w:val="24"/>
              </w:rPr>
              <w:t>43.</w:t>
            </w:r>
            <w:r>
              <w:rPr>
                <w:rFonts w:ascii="仿宋_GB2312" w:hAnsi="仿宋_GB2312" w:cs="仿宋_GB2312" w:eastAsia="仿宋_GB2312"/>
                <w:sz w:val="24"/>
              </w:rPr>
              <w:t>应具备完善的教学过程管理，提供不少于</w:t>
            </w:r>
            <w:r>
              <w:rPr>
                <w:rFonts w:ascii="仿宋_GB2312" w:hAnsi="仿宋_GB2312" w:cs="仿宋_GB2312" w:eastAsia="仿宋_GB2312"/>
                <w:sz w:val="24"/>
              </w:rPr>
              <w:t>6种管理功能，包括但不限于考勤、进度、作业、团队成果、文案任务、项目报告；提供不少于5类过程数据，包括但不限于学习进度、实战次数、平均学习时长、作业提交进度、团队成果提交进度。</w:t>
            </w:r>
          </w:p>
          <w:p>
            <w:pPr>
              <w:pStyle w:val="null3"/>
              <w:ind w:left="420"/>
              <w:jc w:val="both"/>
            </w:pP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课程应具备不少于</w:t>
            </w:r>
            <w:r>
              <w:rPr>
                <w:rFonts w:ascii="仿宋_GB2312" w:hAnsi="仿宋_GB2312" w:cs="仿宋_GB2312" w:eastAsia="仿宋_GB2312"/>
                <w:sz w:val="24"/>
              </w:rPr>
              <w:t>7项信息，包括但不限于课程简介、本章简介、训练计划、思维导图、课程图谱、能力图谱、公告；支持不少于4种教学方式，包括但不限于自由模式、闯关模式、课程图谱、能力图谱。</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应具备课外学习数智化产业案例项目库，支持不少于</w:t>
            </w:r>
            <w:r>
              <w:rPr>
                <w:rFonts w:ascii="仿宋_GB2312" w:hAnsi="仿宋_GB2312" w:cs="仿宋_GB2312" w:eastAsia="仿宋_GB2312"/>
                <w:sz w:val="24"/>
              </w:rPr>
              <w:t>5个筛选维度，包括但不限于项目难度、技术领域、业务领域、案例领域、项目类型。</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46.</w:t>
            </w:r>
            <w:r>
              <w:rPr>
                <w:rFonts w:ascii="仿宋_GB2312" w:hAnsi="仿宋_GB2312" w:cs="仿宋_GB2312" w:eastAsia="仿宋_GB2312"/>
                <w:sz w:val="24"/>
              </w:rPr>
              <w:t>应具备灵活多维的教学评价体系，提供但不限于平时成绩、实践成绩、考试成绩等；成绩分析维度，包括但不限于总成绩、成长值、分项成绩等；提供不少于</w:t>
            </w:r>
            <w:r>
              <w:rPr>
                <w:rFonts w:ascii="仿宋_GB2312" w:hAnsi="仿宋_GB2312" w:cs="仿宋_GB2312" w:eastAsia="仿宋_GB2312"/>
                <w:sz w:val="24"/>
              </w:rPr>
              <w:t>3种可视化图表，包括但不限于柱状图、折线图、环形图。</w:t>
            </w:r>
          </w:p>
          <w:p>
            <w:pPr>
              <w:pStyle w:val="null3"/>
              <w:ind w:left="420"/>
              <w:jc w:val="both"/>
            </w:pPr>
            <w:r>
              <w:rPr>
                <w:rFonts w:ascii="仿宋_GB2312" w:hAnsi="仿宋_GB2312" w:cs="仿宋_GB2312" w:eastAsia="仿宋_GB2312"/>
                <w:sz w:val="24"/>
              </w:rPr>
              <w:t>47.</w:t>
            </w:r>
            <w:r>
              <w:rPr>
                <w:rFonts w:ascii="仿宋_GB2312" w:hAnsi="仿宋_GB2312" w:cs="仿宋_GB2312" w:eastAsia="仿宋_GB2312"/>
                <w:sz w:val="24"/>
              </w:rPr>
              <w:t>应具备学情统计模块，提供分析维度，包括但不限于老师人数、学生人数、班级进度、考勤率等；支持不少于</w:t>
            </w:r>
            <w:r>
              <w:rPr>
                <w:rFonts w:ascii="仿宋_GB2312" w:hAnsi="仿宋_GB2312" w:cs="仿宋_GB2312" w:eastAsia="仿宋_GB2312"/>
                <w:sz w:val="24"/>
              </w:rPr>
              <w:t>3种可视化分析，包括但不限于课堂疑点难点分析、团队表现分析、能力情况分析。</w:t>
            </w:r>
          </w:p>
          <w:p>
            <w:pPr>
              <w:pStyle w:val="null3"/>
              <w:ind w:left="420"/>
              <w:jc w:val="both"/>
            </w:pPr>
            <w:r>
              <w:rPr>
                <w:rFonts w:ascii="仿宋_GB2312" w:hAnsi="仿宋_GB2312" w:cs="仿宋_GB2312" w:eastAsia="仿宋_GB2312"/>
                <w:sz w:val="24"/>
              </w:rPr>
              <w:t>48.</w:t>
            </w:r>
            <w:r>
              <w:rPr>
                <w:rFonts w:ascii="仿宋_GB2312" w:hAnsi="仿宋_GB2312" w:cs="仿宋_GB2312" w:eastAsia="仿宋_GB2312"/>
                <w:sz w:val="24"/>
              </w:rPr>
              <w:t>应具备</w:t>
            </w:r>
            <w:r>
              <w:rPr>
                <w:rFonts w:ascii="仿宋_GB2312" w:hAnsi="仿宋_GB2312" w:cs="仿宋_GB2312" w:eastAsia="仿宋_GB2312"/>
                <w:sz w:val="24"/>
              </w:rPr>
              <w:t>AI对话模块，支持切换Deepseek-R1深度思考模式。</w:t>
            </w:r>
          </w:p>
          <w:p>
            <w:pPr>
              <w:pStyle w:val="null3"/>
              <w:ind w:left="420"/>
              <w:jc w:val="both"/>
            </w:pPr>
            <w:r>
              <w:rPr>
                <w:rFonts w:ascii="仿宋_GB2312" w:hAnsi="仿宋_GB2312" w:cs="仿宋_GB2312" w:eastAsia="仿宋_GB2312"/>
                <w:sz w:val="24"/>
              </w:rPr>
              <w:t>49.</w:t>
            </w:r>
            <w:r>
              <w:rPr>
                <w:rFonts w:ascii="仿宋_GB2312" w:hAnsi="仿宋_GB2312" w:cs="仿宋_GB2312" w:eastAsia="仿宋_GB2312"/>
                <w:sz w:val="24"/>
              </w:rPr>
              <w:t>应具备服务器资源管理模块，支持同时管理多个服务器节点，提供不少于</w:t>
            </w:r>
            <w:r>
              <w:rPr>
                <w:rFonts w:ascii="仿宋_GB2312" w:hAnsi="仿宋_GB2312" w:cs="仿宋_GB2312" w:eastAsia="仿宋_GB2312"/>
                <w:sz w:val="24"/>
              </w:rPr>
              <w:t>3项管理功能，包括但不限于案例配置、更改路由、智能资源调度。</w:t>
            </w:r>
          </w:p>
          <w:p>
            <w:pPr>
              <w:pStyle w:val="null3"/>
              <w:ind w:left="420"/>
              <w:jc w:val="both"/>
            </w:pPr>
            <w:r>
              <w:rPr>
                <w:rFonts w:ascii="仿宋_GB2312" w:hAnsi="仿宋_GB2312" w:cs="仿宋_GB2312" w:eastAsia="仿宋_GB2312"/>
                <w:sz w:val="24"/>
              </w:rPr>
              <w:t>50.</w:t>
            </w:r>
            <w:r>
              <w:rPr>
                <w:rFonts w:ascii="仿宋_GB2312" w:hAnsi="仿宋_GB2312" w:cs="仿宋_GB2312" w:eastAsia="仿宋_GB2312"/>
                <w:sz w:val="24"/>
              </w:rPr>
              <w:t>专业建模：支持不少于</w:t>
            </w:r>
            <w:r>
              <w:rPr>
                <w:rFonts w:ascii="仿宋_GB2312" w:hAnsi="仿宋_GB2312" w:cs="仿宋_GB2312" w:eastAsia="仿宋_GB2312"/>
                <w:sz w:val="24"/>
              </w:rPr>
              <w:t>5项专业配置，包括但不限于专业名称、方向、特色、行业背景、区域背景；提供不少于4项操作功能，包括但不限于发布、查看、修改、删除。</w:t>
            </w:r>
          </w:p>
          <w:p>
            <w:pPr>
              <w:pStyle w:val="null3"/>
              <w:ind w:left="420"/>
              <w:jc w:val="both"/>
            </w:pPr>
            <w:r>
              <w:rPr>
                <w:rFonts w:ascii="仿宋_GB2312" w:hAnsi="仿宋_GB2312" w:cs="仿宋_GB2312" w:eastAsia="仿宋_GB2312"/>
                <w:sz w:val="24"/>
              </w:rPr>
              <w:t>51.</w:t>
            </w:r>
            <w:r>
              <w:rPr>
                <w:rFonts w:ascii="仿宋_GB2312" w:hAnsi="仿宋_GB2312" w:cs="仿宋_GB2312" w:eastAsia="仿宋_GB2312"/>
                <w:sz w:val="24"/>
              </w:rPr>
              <w:t>培养方案建模：支持按年份、专业进行培养方案建模，提供不少于</w:t>
            </w:r>
            <w:r>
              <w:rPr>
                <w:rFonts w:ascii="仿宋_GB2312" w:hAnsi="仿宋_GB2312" w:cs="仿宋_GB2312" w:eastAsia="仿宋_GB2312"/>
                <w:sz w:val="24"/>
              </w:rPr>
              <w:t>3项功能，包括但不限于方案录入、年份建设、班级关联。</w:t>
            </w:r>
          </w:p>
          <w:p>
            <w:pPr>
              <w:pStyle w:val="null3"/>
              <w:ind w:left="420"/>
              <w:jc w:val="both"/>
            </w:pPr>
            <w:r>
              <w:rPr>
                <w:rFonts w:ascii="仿宋_GB2312" w:hAnsi="仿宋_GB2312" w:cs="仿宋_GB2312" w:eastAsia="仿宋_GB2312"/>
                <w:sz w:val="24"/>
              </w:rPr>
              <w:t>52.</w:t>
            </w:r>
            <w:r>
              <w:rPr>
                <w:rFonts w:ascii="仿宋_GB2312" w:hAnsi="仿宋_GB2312" w:cs="仿宋_GB2312" w:eastAsia="仿宋_GB2312"/>
                <w:sz w:val="24"/>
              </w:rPr>
              <w:t>智能培养方案建议：提供不少于</w:t>
            </w:r>
            <w:r>
              <w:rPr>
                <w:rFonts w:ascii="仿宋_GB2312" w:hAnsi="仿宋_GB2312" w:cs="仿宋_GB2312" w:eastAsia="仿宋_GB2312"/>
                <w:sz w:val="24"/>
              </w:rPr>
              <w:t>4项智能化建议，包括但不限于教学对象、培养目标、毕业要求、课程设置，支持智能咨询答疑功能，在输入问题后，智能助手可自动回答培养方案研制相关问题。</w:t>
            </w:r>
          </w:p>
          <w:p>
            <w:pPr>
              <w:pStyle w:val="null3"/>
            </w:pPr>
            <w:r>
              <w:rPr>
                <w:rFonts w:ascii="仿宋_GB2312" w:hAnsi="仿宋_GB2312" w:cs="仿宋_GB2312" w:eastAsia="仿宋_GB2312"/>
                <w:sz w:val="24"/>
              </w:rPr>
              <w:t>53.</w:t>
            </w:r>
            <w:r>
              <w:rPr>
                <w:rFonts w:ascii="仿宋_GB2312" w:hAnsi="仿宋_GB2312" w:cs="仿宋_GB2312" w:eastAsia="仿宋_GB2312"/>
                <w:sz w:val="24"/>
              </w:rPr>
              <w:t>培养方案画像：提供不少于</w:t>
            </w:r>
            <w:r>
              <w:rPr>
                <w:rFonts w:ascii="仿宋_GB2312" w:hAnsi="仿宋_GB2312" w:cs="仿宋_GB2312" w:eastAsia="仿宋_GB2312"/>
                <w:sz w:val="24"/>
              </w:rPr>
              <w:t>5项专业画像，包括但不限于专业背景、专业定位、培养目标、课程设置、关系矩阵。</w:t>
            </w:r>
          </w:p>
        </w:tc>
      </w:tr>
    </w:tbl>
    <w:p>
      <w:pPr>
        <w:pStyle w:val="null3"/>
      </w:pPr>
      <w:r>
        <w:rPr>
          <w:rFonts w:ascii="仿宋_GB2312" w:hAnsi="仿宋_GB2312" w:cs="仿宋_GB2312" w:eastAsia="仿宋_GB2312"/>
        </w:rPr>
        <w:t>标的名称：文化产业创新创意实践系统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三、文化产业创新创意实践</w:t>
            </w:r>
            <w:r>
              <w:rPr>
                <w:rFonts w:ascii="仿宋_GB2312" w:hAnsi="仿宋_GB2312" w:cs="仿宋_GB2312" w:eastAsia="仿宋_GB2312"/>
                <w:sz w:val="24"/>
                <w:b/>
              </w:rPr>
              <w:t>系统</w:t>
            </w:r>
            <w:r>
              <w:rPr>
                <w:rFonts w:ascii="仿宋_GB2312" w:hAnsi="仿宋_GB2312" w:cs="仿宋_GB2312" w:eastAsia="仿宋_GB2312"/>
                <w:sz w:val="24"/>
                <w:b/>
              </w:rPr>
              <w:t>（核心产品）：</w:t>
            </w:r>
          </w:p>
          <w:p>
            <w:pPr>
              <w:pStyle w:val="null3"/>
              <w:ind w:firstLine="480"/>
              <w:jc w:val="both"/>
            </w:pPr>
            <w:r>
              <w:rPr>
                <w:rFonts w:ascii="仿宋_GB2312" w:hAnsi="仿宋_GB2312" w:cs="仿宋_GB2312" w:eastAsia="仿宋_GB2312"/>
                <w:sz w:val="24"/>
              </w:rPr>
              <w:t>文化产业创新创意实践设备包含实验中心、直播设备、运算处理设备、数据交互处理设备等；</w:t>
            </w:r>
          </w:p>
          <w:p>
            <w:pPr>
              <w:pStyle w:val="null3"/>
              <w:ind w:firstLine="480"/>
              <w:jc w:val="both"/>
            </w:pPr>
            <w:r>
              <w:rPr>
                <w:rFonts w:ascii="仿宋_GB2312" w:hAnsi="仿宋_GB2312" w:cs="仿宋_GB2312" w:eastAsia="仿宋_GB2312"/>
                <w:sz w:val="24"/>
              </w:rPr>
              <w:t>系统技术功能指标：</w:t>
            </w:r>
          </w:p>
          <w:p>
            <w:pPr>
              <w:pStyle w:val="null3"/>
              <w:ind w:firstLine="480"/>
              <w:jc w:val="both"/>
            </w:pPr>
            <w:r>
              <w:rPr>
                <w:rFonts w:ascii="仿宋_GB2312" w:hAnsi="仿宋_GB2312" w:cs="仿宋_GB2312" w:eastAsia="仿宋_GB2312"/>
                <w:sz w:val="24"/>
              </w:rPr>
              <w:t>文化产业创新创意实践设备需包含教学实验中心、互动实验中心、个人实验中心三个实验中心，其中：</w:t>
            </w:r>
          </w:p>
          <w:p>
            <w:pPr>
              <w:pStyle w:val="null3"/>
              <w:ind w:left="420"/>
              <w:jc w:val="both"/>
            </w:pPr>
            <w:r>
              <w:rPr>
                <w:rFonts w:ascii="仿宋_GB2312" w:hAnsi="仿宋_GB2312" w:cs="仿宋_GB2312" w:eastAsia="仿宋_GB2312"/>
                <w:sz w:val="24"/>
              </w:rPr>
              <w:t>54.</w:t>
            </w:r>
            <w:r>
              <w:rPr>
                <w:rFonts w:ascii="仿宋_GB2312" w:hAnsi="仿宋_GB2312" w:cs="仿宋_GB2312" w:eastAsia="仿宋_GB2312"/>
                <w:sz w:val="24"/>
              </w:rPr>
              <w:t>▲</w:t>
            </w:r>
            <w:r>
              <w:rPr>
                <w:rFonts w:ascii="仿宋_GB2312" w:hAnsi="仿宋_GB2312" w:cs="仿宋_GB2312" w:eastAsia="仿宋_GB2312"/>
                <w:sz w:val="24"/>
              </w:rPr>
              <w:t>教学实验中心包括但不限于基础训练平台、双创训练平台、营销训练平台、综合训练平台、景区拓展训练平台。</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55.</w:t>
            </w:r>
            <w:r>
              <w:rPr>
                <w:rFonts w:ascii="仿宋_GB2312" w:hAnsi="仿宋_GB2312" w:cs="仿宋_GB2312" w:eastAsia="仿宋_GB2312"/>
                <w:sz w:val="24"/>
              </w:rPr>
              <w:t>互动实验中心包括但不限于精品推送、分享中心、大众点评、排行榜。</w:t>
            </w:r>
          </w:p>
          <w:p>
            <w:pPr>
              <w:pStyle w:val="null3"/>
              <w:ind w:left="420"/>
              <w:jc w:val="both"/>
            </w:pPr>
            <w:r>
              <w:rPr>
                <w:rFonts w:ascii="仿宋_GB2312" w:hAnsi="仿宋_GB2312" w:cs="仿宋_GB2312" w:eastAsia="仿宋_GB2312"/>
                <w:sz w:val="24"/>
              </w:rPr>
              <w:t>56.</w:t>
            </w:r>
            <w:r>
              <w:rPr>
                <w:rFonts w:ascii="仿宋_GB2312" w:hAnsi="仿宋_GB2312" w:cs="仿宋_GB2312" w:eastAsia="仿宋_GB2312"/>
                <w:sz w:val="24"/>
              </w:rPr>
              <w:t>个人实验中心支持包括但不限于收藏、浏览、点评数据。</w:t>
            </w:r>
          </w:p>
          <w:p>
            <w:pPr>
              <w:pStyle w:val="null3"/>
              <w:ind w:left="420"/>
              <w:jc w:val="both"/>
            </w:pPr>
            <w:r>
              <w:rPr>
                <w:rFonts w:ascii="仿宋_GB2312" w:hAnsi="仿宋_GB2312" w:cs="仿宋_GB2312" w:eastAsia="仿宋_GB2312"/>
                <w:sz w:val="24"/>
              </w:rPr>
              <w:t>57.</w:t>
            </w:r>
            <w:r>
              <w:rPr>
                <w:rFonts w:ascii="仿宋_GB2312" w:hAnsi="仿宋_GB2312" w:cs="仿宋_GB2312" w:eastAsia="仿宋_GB2312"/>
                <w:sz w:val="24"/>
              </w:rPr>
              <w:t>基础训练平台包括但不限于欢迎词、沿途讲解、注意事项、游览规划、景区讲解、欢送词。</w:t>
            </w:r>
          </w:p>
          <w:p>
            <w:pPr>
              <w:pStyle w:val="null3"/>
              <w:ind w:left="420"/>
              <w:jc w:val="both"/>
            </w:pPr>
            <w:r>
              <w:rPr>
                <w:rFonts w:ascii="仿宋_GB2312" w:hAnsi="仿宋_GB2312" w:cs="仿宋_GB2312" w:eastAsia="仿宋_GB2312"/>
                <w:sz w:val="24"/>
              </w:rPr>
              <w:t>58.</w:t>
            </w:r>
            <w:r>
              <w:rPr>
                <w:rFonts w:ascii="仿宋_GB2312" w:hAnsi="仿宋_GB2312" w:cs="仿宋_GB2312" w:eastAsia="仿宋_GB2312"/>
                <w:sz w:val="24"/>
              </w:rPr>
              <w:t>教学实验中心包括但不限于实验说明、实验目标、实验知识、实验案例、实验任务。</w:t>
            </w:r>
          </w:p>
          <w:p>
            <w:pPr>
              <w:pStyle w:val="null3"/>
              <w:ind w:left="420"/>
              <w:jc w:val="both"/>
            </w:pPr>
            <w:r>
              <w:rPr>
                <w:rFonts w:ascii="仿宋_GB2312" w:hAnsi="仿宋_GB2312" w:cs="仿宋_GB2312" w:eastAsia="仿宋_GB2312"/>
                <w:sz w:val="24"/>
              </w:rPr>
              <w:t>59.</w:t>
            </w:r>
            <w:r>
              <w:rPr>
                <w:rFonts w:ascii="仿宋_GB2312" w:hAnsi="仿宋_GB2312" w:cs="仿宋_GB2312" w:eastAsia="仿宋_GB2312"/>
                <w:sz w:val="24"/>
              </w:rPr>
              <w:t>▲</w:t>
            </w:r>
            <w:r>
              <w:rPr>
                <w:rFonts w:ascii="仿宋_GB2312" w:hAnsi="仿宋_GB2312" w:cs="仿宋_GB2312" w:eastAsia="仿宋_GB2312"/>
                <w:sz w:val="24"/>
              </w:rPr>
              <w:t>双创训练平台包括但不限于欢迎词、沿途讲解、注意事项、景区讲解、游览规划、欢送词。</w:t>
            </w:r>
            <w:r>
              <w:rPr>
                <w:rFonts w:ascii="仿宋_GB2312" w:hAnsi="仿宋_GB2312" w:cs="仿宋_GB2312" w:eastAsia="仿宋_GB2312"/>
                <w:sz w:val="24"/>
                <w:b/>
              </w:rPr>
              <w:t>（</w:t>
            </w:r>
            <w:r>
              <w:rPr>
                <w:rFonts w:ascii="仿宋_GB2312" w:hAnsi="仿宋_GB2312" w:cs="仿宋_GB2312" w:eastAsia="仿宋_GB2312"/>
                <w:sz w:val="24"/>
                <w:b/>
              </w:rPr>
              <w:t>须</w:t>
            </w:r>
            <w:r>
              <w:rPr>
                <w:rFonts w:ascii="仿宋_GB2312" w:hAnsi="仿宋_GB2312" w:cs="仿宋_GB2312" w:eastAsia="仿宋_GB2312"/>
                <w:sz w:val="24"/>
                <w:b/>
              </w:rPr>
              <w:t>提供软件功能截图证明</w:t>
            </w:r>
            <w:r>
              <w:rPr>
                <w:rFonts w:ascii="仿宋_GB2312" w:hAnsi="仿宋_GB2312" w:cs="仿宋_GB2312" w:eastAsia="仿宋_GB2312"/>
                <w:sz w:val="24"/>
                <w:b/>
              </w:rPr>
              <w:t>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b/>
              </w:rPr>
              <w:t>）</w:t>
            </w:r>
          </w:p>
          <w:p>
            <w:pPr>
              <w:pStyle w:val="null3"/>
              <w:ind w:left="420"/>
              <w:jc w:val="both"/>
            </w:pPr>
            <w:r>
              <w:rPr>
                <w:rFonts w:ascii="仿宋_GB2312" w:hAnsi="仿宋_GB2312" w:cs="仿宋_GB2312" w:eastAsia="仿宋_GB2312"/>
                <w:sz w:val="24"/>
              </w:rPr>
              <w:t>60.</w:t>
            </w:r>
            <w:r>
              <w:rPr>
                <w:rFonts w:ascii="仿宋_GB2312" w:hAnsi="仿宋_GB2312" w:cs="仿宋_GB2312" w:eastAsia="仿宋_GB2312"/>
                <w:sz w:val="24"/>
              </w:rPr>
              <w:t>营销训练平台包括但不限于文娱项目、地方特产、餐饮美食、自费景点。</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rPr>
              <w:t>综合训练平台需基于陕西省实际旅游线路资源，提供核心要素实验任务。提供研学旅行创新讲解实训，包括但不限于上海风光、山西文化、江苏历史、丝绸之路。</w:t>
            </w:r>
          </w:p>
          <w:p>
            <w:pPr>
              <w:pStyle w:val="null3"/>
              <w:ind w:left="420"/>
              <w:jc w:val="both"/>
            </w:pPr>
            <w:r>
              <w:rPr>
                <w:rFonts w:ascii="仿宋_GB2312" w:hAnsi="仿宋_GB2312" w:cs="仿宋_GB2312" w:eastAsia="仿宋_GB2312"/>
                <w:sz w:val="24"/>
              </w:rPr>
              <w:t>61.</w:t>
            </w:r>
            <w:r>
              <w:rPr>
                <w:rFonts w:ascii="仿宋_GB2312" w:hAnsi="仿宋_GB2312" w:cs="仿宋_GB2312" w:eastAsia="仿宋_GB2312"/>
                <w:sz w:val="24"/>
              </w:rPr>
              <w:t>导游创新创意讲解实训包括但不限于欢迎词、沿途导游、注意事项、游览规划、地文景观、红色景观、博物馆、欢送词，提供不少于</w:t>
            </w:r>
            <w:r>
              <w:rPr>
                <w:rFonts w:ascii="仿宋_GB2312" w:hAnsi="仿宋_GB2312" w:cs="仿宋_GB2312" w:eastAsia="仿宋_GB2312"/>
                <w:sz w:val="24"/>
              </w:rPr>
              <w:t>20个创新讲解方法。</w:t>
            </w:r>
          </w:p>
          <w:p>
            <w:pPr>
              <w:pStyle w:val="null3"/>
              <w:ind w:left="420"/>
              <w:jc w:val="both"/>
            </w:pPr>
            <w:r>
              <w:rPr>
                <w:rFonts w:ascii="仿宋_GB2312" w:hAnsi="仿宋_GB2312" w:cs="仿宋_GB2312" w:eastAsia="仿宋_GB2312"/>
                <w:sz w:val="24"/>
              </w:rPr>
              <w:t>62.</w:t>
            </w:r>
            <w:r>
              <w:rPr>
                <w:rFonts w:ascii="仿宋_GB2312" w:hAnsi="仿宋_GB2312" w:cs="仿宋_GB2312" w:eastAsia="仿宋_GB2312"/>
                <w:sz w:val="24"/>
              </w:rPr>
              <w:t>景区拓展训练平台包括但不限于</w:t>
            </w:r>
            <w:r>
              <w:rPr>
                <w:rFonts w:ascii="仿宋_GB2312" w:hAnsi="仿宋_GB2312" w:cs="仿宋_GB2312" w:eastAsia="仿宋_GB2312"/>
                <w:sz w:val="24"/>
              </w:rPr>
              <w:t>720实景、VR体验，其中：①720实景子模块包括但不限于三维实景全屏展示、视频展示、语音讲解、教学顺序调整、图片展示；②提供不少于180个国内外著名景区720全景资源，覆盖不少于20个省份和景点；其中陕西省必须提供的景区有：枣园革命旧址、杨家岭革命旧址、延安宝塔山、延安革命纪念馆等；③提供不少于40个代表性红色旅游景区全景资源；④重点展示包括但不限于李渡烧酒作坊遗址、交大西迁博物馆、会宁红军会师旧址、墨子旅游文化区、平潭岛等，每个景区包含不少于10个详细讲解点；</w:t>
            </w:r>
          </w:p>
          <w:p>
            <w:pPr>
              <w:pStyle w:val="null3"/>
            </w:pPr>
            <w:r>
              <w:rPr>
                <w:rFonts w:ascii="仿宋_GB2312" w:hAnsi="仿宋_GB2312" w:cs="仿宋_GB2312" w:eastAsia="仿宋_GB2312"/>
                <w:sz w:val="24"/>
              </w:rPr>
              <w:t>63.</w:t>
            </w:r>
            <w:r>
              <w:rPr>
                <w:rFonts w:ascii="仿宋_GB2312" w:hAnsi="仿宋_GB2312" w:cs="仿宋_GB2312" w:eastAsia="仿宋_GB2312"/>
                <w:sz w:val="24"/>
              </w:rPr>
              <w:t>VR体验子模块需满足：①包括但不限于建筑视角、鱼眼视角、超广角镜头、小行星视角；②≥60个VR景区资源，包括但不限于≥10个地文景观、≥5个水域景观、≥5个生物生态景观、≥5个红色教育景观、≥10个博物馆景观、≥5个古镇民俗景观、≥5个地域文化景观、≥5个帝王陵墓景观、≥5个石窟庙宇景观、≥5个建筑设施景观。</w:t>
            </w:r>
          </w:p>
        </w:tc>
      </w:tr>
    </w:tbl>
    <w:p>
      <w:pPr>
        <w:pStyle w:val="null3"/>
      </w:pPr>
      <w:r>
        <w:rPr>
          <w:rFonts w:ascii="仿宋_GB2312" w:hAnsi="仿宋_GB2312" w:cs="仿宋_GB2312" w:eastAsia="仿宋_GB2312"/>
        </w:rPr>
        <w:t>标的名称：VR展示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VR展示及维护单元（核心产品）：</w:t>
            </w:r>
          </w:p>
          <w:p>
            <w:pPr>
              <w:pStyle w:val="null3"/>
              <w:ind w:left="420"/>
              <w:jc w:val="both"/>
            </w:pPr>
            <w:r>
              <w:rPr>
                <w:rFonts w:ascii="仿宋_GB2312" w:hAnsi="仿宋_GB2312" w:cs="仿宋_GB2312" w:eastAsia="仿宋_GB2312"/>
                <w:sz w:val="24"/>
              </w:rPr>
              <w:t>64.</w:t>
            </w:r>
            <w:r>
              <w:rPr>
                <w:rFonts w:ascii="仿宋_GB2312" w:hAnsi="仿宋_GB2312" w:cs="仿宋_GB2312" w:eastAsia="仿宋_GB2312"/>
                <w:sz w:val="24"/>
              </w:rPr>
              <w:t>VR展示设备：（1）显示屏：5.5inchx1SFRTFT；（2）分辨率：3664x1920，PPI：773；（3）视场角：98°；（4）瞳距调节：支持物理瞳距调节：58/63.5/69mm；（5）处理器：高通XR2，Kryo585核心，8核64位，主频：2.84GHz ；（6）手柄：6DoF体感手柄x2个，支持光学定位，支持线性振动马达。</w:t>
            </w:r>
          </w:p>
          <w:p>
            <w:pPr>
              <w:pStyle w:val="null3"/>
            </w:pPr>
            <w:r>
              <w:rPr>
                <w:rFonts w:ascii="仿宋_GB2312" w:hAnsi="仿宋_GB2312" w:cs="仿宋_GB2312" w:eastAsia="仿宋_GB2312"/>
                <w:sz w:val="24"/>
              </w:rPr>
              <w:t>65.</w:t>
            </w:r>
            <w:r>
              <w:rPr>
                <w:rFonts w:ascii="仿宋_GB2312" w:hAnsi="仿宋_GB2312" w:cs="仿宋_GB2312" w:eastAsia="仿宋_GB2312"/>
                <w:sz w:val="24"/>
              </w:rPr>
              <w:t>VR配套维护设备：(1)具有温控保存和移动功能USB多功能充电口，USB端口5V2.1A直流充电，免适配；(2)全封闭式防盗结构。(3)智能识别IC芯片，能智能充电识别设备并分配所需电流每路均有过流、过载、短路、漏电保护，每口单独具备智能LED转灯功能；红灯:充电状态中，绿灯:充满/未连接；(4)柜体采用钢结构；前后多层式设计，每层对应USB充电口；(5)配备万向轮(带刹车功能),四角加厚软塑胶防撞角，ABS人体工学把手，顶盖边角圆弧设计。(6)紫外线消毒灯，360°无死角消毒；(7)具有降温风扇，具备温控感应；(8)主动式开关电源供电；</w:t>
            </w:r>
          </w:p>
        </w:tc>
      </w:tr>
    </w:tbl>
    <w:p>
      <w:pPr>
        <w:pStyle w:val="null3"/>
      </w:pPr>
      <w:r>
        <w:rPr>
          <w:rFonts w:ascii="仿宋_GB2312" w:hAnsi="仿宋_GB2312" w:cs="仿宋_GB2312" w:eastAsia="仿宋_GB2312"/>
        </w:rPr>
        <w:t>标的名称：全息投影展示屏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全息投影</w:t>
            </w:r>
            <w:r>
              <w:rPr>
                <w:rFonts w:ascii="仿宋_GB2312" w:hAnsi="仿宋_GB2312" w:cs="仿宋_GB2312" w:eastAsia="仿宋_GB2312"/>
                <w:sz w:val="24"/>
              </w:rPr>
              <w:t>展示屏</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66.</w:t>
            </w:r>
            <w:r>
              <w:rPr>
                <w:rFonts w:ascii="仿宋_GB2312" w:hAnsi="仿宋_GB2312" w:cs="仿宋_GB2312" w:eastAsia="仿宋_GB2312"/>
                <w:sz w:val="24"/>
              </w:rPr>
              <w:t>触摸屏参数：尺寸：</w:t>
            </w:r>
            <w:r>
              <w:rPr>
                <w:rFonts w:ascii="仿宋_GB2312" w:hAnsi="仿宋_GB2312" w:cs="仿宋_GB2312" w:eastAsia="仿宋_GB2312"/>
                <w:sz w:val="24"/>
              </w:rPr>
              <w:t>19寸LED工业液晶显示屏；屏体分辨率：≥1920*1080；颜色：≥16.7M（True8bit）；亮度：≥250~350cd/m2；对比度：≥(3000:1)；</w:t>
            </w:r>
          </w:p>
        </w:tc>
      </w:tr>
    </w:tbl>
    <w:p>
      <w:pPr>
        <w:pStyle w:val="null3"/>
      </w:pPr>
      <w:r>
        <w:rPr>
          <w:rFonts w:ascii="仿宋_GB2312" w:hAnsi="仿宋_GB2312" w:cs="仿宋_GB2312" w:eastAsia="仿宋_GB2312"/>
        </w:rPr>
        <w:t>标的名称：全息投影工作站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全息投影工作站</w:t>
            </w:r>
            <w:r>
              <w:rPr>
                <w:rFonts w:ascii="仿宋_GB2312" w:hAnsi="仿宋_GB2312" w:cs="仿宋_GB2312" w:eastAsia="仿宋_GB2312"/>
                <w:sz w:val="24"/>
              </w:rPr>
              <w:t>：</w:t>
            </w:r>
          </w:p>
          <w:p>
            <w:pPr>
              <w:pStyle w:val="null3"/>
            </w:pPr>
            <w:r>
              <w:rPr>
                <w:rFonts w:ascii="仿宋_GB2312" w:hAnsi="仿宋_GB2312" w:cs="仿宋_GB2312" w:eastAsia="仿宋_GB2312"/>
                <w:sz w:val="24"/>
              </w:rPr>
              <w:t>6</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配套播放主机配置要求：主板：工业主板；</w:t>
            </w:r>
            <w:r>
              <w:rPr>
                <w:rFonts w:ascii="仿宋_GB2312" w:hAnsi="仿宋_GB2312" w:cs="仿宋_GB2312" w:eastAsia="仿宋_GB2312"/>
                <w:sz w:val="24"/>
              </w:rPr>
              <w:t>CPU：核心数≥4核，主频≥2.5GHz；内存：≥DDR3 4G；硬盘：≥120G固态；显卡：集成显卡；接口：≥HMDI接口1个，VGA接口1路，USB接口4个，网线卡槽1个，音频接口一对；支持视频格式：</w:t>
            </w:r>
          </w:p>
        </w:tc>
      </w:tr>
    </w:tbl>
    <w:p>
      <w:pPr>
        <w:pStyle w:val="null3"/>
      </w:pPr>
      <w:r>
        <w:rPr>
          <w:rFonts w:ascii="仿宋_GB2312" w:hAnsi="仿宋_GB2312" w:cs="仿宋_GB2312" w:eastAsia="仿宋_GB2312"/>
        </w:rPr>
        <w:t>标的名称：全息投影显示单元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全息投影显示单元</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68.</w:t>
            </w:r>
            <w:r>
              <w:rPr>
                <w:rFonts w:ascii="仿宋_GB2312" w:hAnsi="仿宋_GB2312" w:cs="仿宋_GB2312" w:eastAsia="仿宋_GB2312"/>
                <w:sz w:val="24"/>
              </w:rPr>
              <w:t>显示屏参数：尺寸：</w:t>
            </w:r>
            <w:r>
              <w:rPr>
                <w:rFonts w:ascii="仿宋_GB2312" w:hAnsi="仿宋_GB2312" w:cs="仿宋_GB2312" w:eastAsia="仿宋_GB2312"/>
                <w:sz w:val="24"/>
              </w:rPr>
              <w:t>19寸LED工业液晶显示屏（4片）屏体分辨率：≥1280*1024；亮度：≥250~350cd/m2；对比度：≥(1000:1)；</w:t>
            </w:r>
          </w:p>
        </w:tc>
      </w:tr>
    </w:tbl>
    <w:p>
      <w:pPr>
        <w:pStyle w:val="null3"/>
      </w:pPr>
      <w:r>
        <w:rPr>
          <w:rFonts w:ascii="仿宋_GB2312" w:hAnsi="仿宋_GB2312" w:cs="仿宋_GB2312" w:eastAsia="仿宋_GB2312"/>
        </w:rPr>
        <w:t>标的名称：中国旅游文化全息数字教学资源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中国旅游文化全息数字教学资源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69.包含中国旅游文化全息数字教学资源：要求包括但不限于古桥、古塔、古民居、陶瓷器等；提供的每个颗粒化资源内容必须真实、准确，每个资源配套提供智能语音讲解；资源元素采用全息投影呈现；所提供数据格式应为通用标准格式；数字教学资源平台必须与本次项目建设中的全息投影设备实现无缝对接；包含中国古建筑全息教学资源，采用全息投影三维建模技术，以全景360°呈现中国古建筑的全息教学资源：包括庑殿顶（含正脊、垂脊细部）、攒尖顶（含宝顶细部）、硬山顶、卷棚顶等单体资源。包括卢沟桥、四合院、土楼、大雁塔、小雁塔、黄鹤楼、岳阳楼、滕王阁等。包括斗、景德镇青花瓷、唐三彩俑、龙泉青瓷、德化白瓷、宜兴紫砂壶等。每个单体资源均配套提供数字语音讲解；</w:t>
            </w:r>
          </w:p>
          <w:p>
            <w:pPr>
              <w:pStyle w:val="null3"/>
              <w:jc w:val="both"/>
            </w:pPr>
            <w:r>
              <w:rPr>
                <w:rFonts w:ascii="仿宋_GB2312" w:hAnsi="仿宋_GB2312" w:cs="仿宋_GB2312" w:eastAsia="仿宋_GB2312"/>
                <w:sz w:val="24"/>
              </w:rPr>
              <w:t>（演示项</w:t>
            </w:r>
            <w:r>
              <w:rPr>
                <w:rFonts w:ascii="仿宋_GB2312" w:hAnsi="仿宋_GB2312" w:cs="仿宋_GB2312" w:eastAsia="仿宋_GB2312"/>
                <w:sz w:val="24"/>
              </w:rPr>
              <w:t>4）：要求平台提供单体教学资源部分：大雁塔、景德镇青花瓷、唐三彩俑、龙泉青瓷、德化白瓷、宜兴紫砂壶等。</w:t>
            </w:r>
          </w:p>
        </w:tc>
      </w:tr>
    </w:tbl>
    <w:p>
      <w:pPr>
        <w:pStyle w:val="null3"/>
      </w:pPr>
      <w:r>
        <w:rPr>
          <w:rFonts w:ascii="仿宋_GB2312" w:hAnsi="仿宋_GB2312" w:cs="仿宋_GB2312" w:eastAsia="仿宋_GB2312"/>
        </w:rPr>
        <w:t>标的名称：文化产业情景VR虚拟实验平台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四、文化产业情景</w:t>
            </w:r>
            <w:r>
              <w:rPr>
                <w:rFonts w:ascii="仿宋_GB2312" w:hAnsi="仿宋_GB2312" w:cs="仿宋_GB2312" w:eastAsia="仿宋_GB2312"/>
                <w:sz w:val="24"/>
                <w:b/>
              </w:rPr>
              <w:t>VR虚拟实验</w:t>
            </w:r>
            <w:r>
              <w:rPr>
                <w:rFonts w:ascii="仿宋_GB2312" w:hAnsi="仿宋_GB2312" w:cs="仿宋_GB2312" w:eastAsia="仿宋_GB2312"/>
                <w:sz w:val="24"/>
                <w:b/>
              </w:rPr>
              <w:t>平台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（一）文化旅游</w:t>
            </w:r>
            <w:r>
              <w:rPr>
                <w:rFonts w:ascii="仿宋_GB2312" w:hAnsi="仿宋_GB2312" w:cs="仿宋_GB2312" w:eastAsia="仿宋_GB2312"/>
                <w:sz w:val="24"/>
              </w:rPr>
              <w:t>VR虚拟实验教学模块</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平台提供的虚拟仿真资源通过大屏幕和</w:t>
            </w:r>
            <w:r>
              <w:rPr>
                <w:rFonts w:ascii="仿宋_GB2312" w:hAnsi="仿宋_GB2312" w:cs="仿宋_GB2312" w:eastAsia="仿宋_GB2312"/>
                <w:sz w:val="24"/>
              </w:rPr>
              <w:t>VR眼镜进行漫游式、沉浸式浏览，漫游界面包括景点全景画面、前台播放控制器、放大缩小、清屏、自动旋转、VR切换等控制功能；</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VR景区展示功能必须按照景区讲解点进行展示，支持VR沉浸式场景体验教学；</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支持教师根据实际需求对学生体验端首页所展示的</w:t>
            </w:r>
            <w:r>
              <w:rPr>
                <w:rFonts w:ascii="仿宋_GB2312" w:hAnsi="仿宋_GB2312" w:cs="仿宋_GB2312" w:eastAsia="仿宋_GB2312"/>
                <w:sz w:val="24"/>
              </w:rPr>
              <w:t>VR资源进行自主推荐功能；</w:t>
            </w:r>
          </w:p>
          <w:p>
            <w:pPr>
              <w:pStyle w:val="null3"/>
              <w:ind w:firstLine="480"/>
              <w:jc w:val="both"/>
            </w:pPr>
            <w:r>
              <w:rPr>
                <w:rFonts w:ascii="仿宋_GB2312" w:hAnsi="仿宋_GB2312" w:cs="仿宋_GB2312" w:eastAsia="仿宋_GB2312"/>
                <w:sz w:val="24"/>
              </w:rPr>
              <w:t>教学景点覆盖全国不少于</w:t>
            </w:r>
            <w:r>
              <w:rPr>
                <w:rFonts w:ascii="仿宋_GB2312" w:hAnsi="仿宋_GB2312" w:cs="仿宋_GB2312" w:eastAsia="仿宋_GB2312"/>
                <w:sz w:val="24"/>
              </w:rPr>
              <w:t>20个省级行政区以及国外知名景区VR虚拟仿真教学资源</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包含陕西省VR教学资源不少于24个：陕甘边革命根据地照金纪念馆、梁家河、延安杨家岭革命旧址、华山风景名胜区、枣园革命旧址、西安碑林博物馆、大唐芙蓉园、大唐不夜城、华清池、陕西历史博物馆、大明宫国家遗址公园、西安半坡遗址博物馆、西安浐灞国家湿地公园、交大西迁博物馆、八路军西安办事处纪念馆、葛牌古镇、止园、延安革命纪念馆、鸡凤县革命纪念馆、宝鸡扶眉战役纪念馆、宝鸡改革先锋何载事迹展、西安城墙、张学良公馆、金丝峡风景区；</w:t>
            </w:r>
            <w:r>
              <w:rPr>
                <w:rFonts w:ascii="仿宋_GB2312" w:hAnsi="仿宋_GB2312" w:cs="仿宋_GB2312" w:eastAsia="仿宋_GB2312"/>
                <w:sz w:val="24"/>
                <w:b/>
              </w:rPr>
              <w:t>（须提供软件功能截图证明材料并加盖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其他省份教学景区资源不少于80个知名景区。包括但不限于天安门广场、故宫博物院、八达岭长城、中国人民抗日战争纪念馆、武夷山风景名胜区、麦积山石窟、黄埔军校旧址纪念馆、广州中山纪念堂、西江千户苗寨、遵义会议会址、天涯海角、西柏坡纪念馆、红旗渠风景区、殷墟、红旗渠风景区、黄河小浪底风景区、五大连池风景区、古田会议会址、辛亥革命博物馆、韶山毛泽东同志纪念馆专题、湖北省博物馆、张家界天门山国家森林公园、井冈山革命博物馆、南昌八一起义纪念馆、青海湖、忻州古城等教学景；</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3）所提供的国内每一个VR景区必须自带：景区视频展示、景区简介、景区每个讲解点的专业导游词、专业导游的讲解音频、讲解点图集展示等专业资源；</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国外知名教学景区资源，包括但不限于：泰国大皇宫、泰国卧佛寺、新加坡植物园、莫斯科红场、斯里兰卡大佛寺、巴黎凯旋门、比萨斜塔、罗马斗兽场。每个景区配套提供景区视频展示、景区简介以及景区的音频讲解；</w:t>
            </w:r>
          </w:p>
          <w:p>
            <w:pPr>
              <w:pStyle w:val="null3"/>
              <w:jc w:val="both"/>
            </w:pPr>
            <w:r>
              <w:rPr>
                <w:rFonts w:ascii="仿宋_GB2312" w:hAnsi="仿宋_GB2312" w:cs="仿宋_GB2312" w:eastAsia="仿宋_GB2312"/>
                <w:sz w:val="24"/>
              </w:rPr>
              <w:t>（二）旅游专题虚拟展厅</w:t>
            </w:r>
            <w:r>
              <w:rPr>
                <w:rFonts w:ascii="仿宋_GB2312" w:hAnsi="仿宋_GB2312" w:cs="仿宋_GB2312" w:eastAsia="仿宋_GB2312"/>
                <w:sz w:val="24"/>
              </w:rPr>
              <w:t>VR教学模块</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采用以</w:t>
            </w:r>
            <w:r>
              <w:rPr>
                <w:rFonts w:ascii="仿宋_GB2312" w:hAnsi="仿宋_GB2312" w:cs="仿宋_GB2312" w:eastAsia="仿宋_GB2312"/>
                <w:sz w:val="24"/>
              </w:rPr>
              <w:t>3DMax模型渲染展馆，基于unity3d引擎开发，支持WEB网络浏览器访问教学需求；</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支持展厅地图引导参观；展厅使用加密技术，保护展馆模型不被盗用和修改；展馆支持安装包模式一键安装，一键更新；</w:t>
            </w:r>
          </w:p>
          <w:p>
            <w:pPr>
              <w:pStyle w:val="null3"/>
              <w:ind w:left="420"/>
              <w:jc w:val="both"/>
            </w:pPr>
            <w:r>
              <w:rPr>
                <w:rFonts w:ascii="仿宋_GB2312" w:hAnsi="仿宋_GB2312" w:cs="仿宋_GB2312" w:eastAsia="仿宋_GB2312"/>
                <w:sz w:val="24"/>
              </w:rPr>
              <w:t>79</w:t>
            </w:r>
            <w:r>
              <w:rPr>
                <w:rFonts w:ascii="仿宋_GB2312" w:hAnsi="仿宋_GB2312" w:cs="仿宋_GB2312" w:eastAsia="仿宋_GB2312"/>
                <w:sz w:val="24"/>
              </w:rPr>
              <w:t>.</w:t>
            </w:r>
            <w:r>
              <w:rPr>
                <w:rFonts w:ascii="仿宋_GB2312" w:hAnsi="仿宋_GB2312" w:cs="仿宋_GB2312" w:eastAsia="仿宋_GB2312"/>
                <w:sz w:val="24"/>
              </w:rPr>
              <w:t>旅游业发展史虚拟展厅教学内容包括但不限于世界旅游发展史、中国旅游业发展史子展厅。世界旅游业发展展厅含有古代旅游业发展阶段、近代旅游业发展阶段、现代旅游业发展阶段。中国旅游业发展展厅包括：初步萌芽阶段、探索研究阶段、重新整合阶段、科学发展新阶段（发展机遇、前景展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rPr>
              <w:t>中国传统礼仪文化虚拟展厅教学内容包括但不限于：</w:t>
            </w:r>
            <w:r>
              <w:rPr>
                <w:rFonts w:ascii="仿宋_GB2312" w:hAnsi="仿宋_GB2312" w:cs="仿宋_GB2312" w:eastAsia="仿宋_GB2312"/>
                <w:sz w:val="24"/>
              </w:rPr>
              <w:t>“礼仪之源，流长千里”、“古韵华风，礼制建筑”、“衣冠上国，汉服礼仪”三个虚拟子展厅。“礼仪之源，流长千里”子展厅包括：礼之源起、礼之形制、礼之常规、礼之经略、礼之典故5项专题体验项目。“古韵华风、礼制建筑”子展厅包括：屋顶与礼、脊兽与礼、斗拱与礼、台基与礼、数字与礼、色彩与礼6项专题体验项目。“衣冠上国，汉服礼仪”子展厅包括：汉服的前世今生、汉服中的宇宙观念、汉服中的哲学思想、汉服中的礼法制度、汉服中的美学内涵等5项专题体验项目。</w:t>
            </w:r>
          </w:p>
          <w:p>
            <w:pPr>
              <w:pStyle w:val="null3"/>
              <w:jc w:val="both"/>
            </w:pPr>
            <w:r>
              <w:rPr>
                <w:rFonts w:ascii="仿宋_GB2312" w:hAnsi="仿宋_GB2312" w:cs="仿宋_GB2312" w:eastAsia="仿宋_GB2312"/>
                <w:sz w:val="24"/>
              </w:rPr>
              <w:t>（三）旅游在线考核实训模块</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要求平台按照</w:t>
            </w:r>
            <w:r>
              <w:rPr>
                <w:rFonts w:ascii="仿宋_GB2312" w:hAnsi="仿宋_GB2312" w:cs="仿宋_GB2312" w:eastAsia="仿宋_GB2312"/>
                <w:sz w:val="24"/>
              </w:rPr>
              <w:t>2025年考试大纲提供全国导游基础题目≥3200道，导游业务题目≥2800道，政策与法律法规题目≥3300道，地方导游题目≥3300道，方便学生练考提升；</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PC端和APP端两个端口相结合的模式，并保证两个端口数据同步、互通共享；</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支持学生开展自由练习、模拟练习、实战考场三种练考方式；</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平台学生个人中心包含个人信息、成长记录、回顾我的考卷、错题收藏笔记等模块，其中成长记录需通过曲线展示出个人不同科目的成长记录；</w:t>
            </w:r>
            <w:r>
              <w:rPr>
                <w:rFonts w:ascii="仿宋_GB2312" w:hAnsi="仿宋_GB2312" w:cs="仿宋_GB2312" w:eastAsia="仿宋_GB2312"/>
                <w:sz w:val="24"/>
                <w:b/>
              </w:rPr>
              <w:t>（须提供软件功能截图证明材料并加盖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p>
          <w:p>
            <w:pPr>
              <w:pStyle w:val="null3"/>
            </w:pPr>
            <w:r>
              <w:rPr>
                <w:rFonts w:ascii="仿宋_GB2312" w:hAnsi="仿宋_GB2312" w:cs="仿宋_GB2312" w:eastAsia="仿宋_GB2312"/>
                <w:sz w:val="24"/>
              </w:rPr>
              <w:t>8</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支持学生在线机考能力（上机现场讲解）必须完全模拟导游考试机考新模式进行导游机考现场讲解环节；</w:t>
            </w:r>
            <w:r>
              <w:rPr>
                <w:rFonts w:ascii="仿宋_GB2312" w:hAnsi="仿宋_GB2312" w:cs="仿宋_GB2312" w:eastAsia="仿宋_GB2312"/>
                <w:sz w:val="24"/>
                <w:b/>
              </w:rPr>
              <w:t>（须提供软件功能截图证明材料并加盖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标的名称：展柜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展柜</w:t>
            </w:r>
            <w:r>
              <w:rPr>
                <w:rFonts w:ascii="仿宋_GB2312" w:hAnsi="仿宋_GB2312" w:cs="仿宋_GB2312" w:eastAsia="仿宋_GB2312"/>
                <w:sz w:val="24"/>
              </w:rPr>
              <w:t>：</w:t>
            </w:r>
          </w:p>
          <w:p>
            <w:pPr>
              <w:pStyle w:val="null3"/>
            </w:pPr>
            <w:r>
              <w:rPr>
                <w:rFonts w:ascii="仿宋_GB2312" w:hAnsi="仿宋_GB2312" w:cs="仿宋_GB2312" w:eastAsia="仿宋_GB2312"/>
                <w:sz w:val="24"/>
              </w:rPr>
              <w:t>85.</w:t>
            </w:r>
            <w:r>
              <w:rPr>
                <w:rFonts w:ascii="仿宋_GB2312" w:hAnsi="仿宋_GB2312" w:cs="仿宋_GB2312" w:eastAsia="仿宋_GB2312"/>
                <w:sz w:val="24"/>
              </w:rPr>
              <w:t>展柜参数：设备外壳材质：冷轧钢板烤漆工艺；全息镀膜玻璃，厚度：</w:t>
            </w:r>
            <w:r>
              <w:rPr>
                <w:rFonts w:ascii="仿宋_GB2312" w:hAnsi="仿宋_GB2312" w:cs="仿宋_GB2312" w:eastAsia="仿宋_GB2312"/>
                <w:sz w:val="24"/>
              </w:rPr>
              <w:t>≥5mm；磨边，紫外灯固化；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品部署、授权和培训，提供第一季度的《巡检报告》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产品部署、授权和培训，提供第一季度的《巡检报告》后组织项目验收。验收依据：1.合同文本、合同附件、用户使用手册、常见问题处理手册、培训服务方案、宣传推广方案、培训记录。2.国内相应的标准、规范。3.其他相关资料。 初步验收：合同货物在安装调试完毕进入试运行期前，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1、本项目采用总价报价，其中：供应商报价不允许超过标的金额及采购包最高限价，否则按无效投标处理。 2、供应商在填写《中小企业声明函》时需注意：（1）、提供的货物全部由符合政策要求的中小企业制造；（2）货物名称包括采购内容中所列采购标的所包含的所有货物名称，供应商须按采购包逐项填写，否则不予认可。 3、关于符合本国产品标准的声明函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 4、本项目按采购包号由小到大顺序进行评审，同一家供应商不得同时中标两个及以上采购包。即：前一采购包排名第一的中标候选人，不再作为后续采购包中标候选人推荐。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；（3）每项均未超过标的金额；（4）总价未超出采购包采购预算或最高限价；</w:t>
            </w:r>
          </w:p>
        </w:tc>
        <w:tc>
          <w:tcPr>
            <w:tcW w:type="dxa" w:w="1661"/>
          </w:tcPr>
          <w:p>
            <w:pPr>
              <w:pStyle w:val="null3"/>
            </w:pPr>
            <w:r>
              <w:rPr>
                <w:rFonts w:ascii="仿宋_GB2312" w:hAnsi="仿宋_GB2312" w:cs="仿宋_GB2312" w:eastAsia="仿宋_GB2312"/>
              </w:rPr>
              <w:t>开标一览表.docx 开标一览表 分项报价设备清单（采购包1）.docx 关于符合本国产品标准的声明函.docx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在符合性审查环节提供核心产品（区块链技术与应用平台）品牌不足3个的，视为有效投标人不足3家。</w:t>
            </w:r>
          </w:p>
        </w:tc>
        <w:tc>
          <w:tcPr>
            <w:tcW w:type="dxa" w:w="1661"/>
          </w:tcPr>
          <w:p>
            <w:pPr>
              <w:pStyle w:val="null3"/>
            </w:pPr>
            <w:r>
              <w:rPr>
                <w:rFonts w:ascii="仿宋_GB2312" w:hAnsi="仿宋_GB2312" w:cs="仿宋_GB2312" w:eastAsia="仿宋_GB2312"/>
              </w:rPr>
              <w:t>分项报价设备清单（采购包1）.docx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分项报价设备清单（采购包1）.docx 技术偏离表.docx 标的清单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分项报价设备清单（采购包1）.docx 中小企业声明函 拒绝商业贿赂承诺书.docx 投标人应提交的相关资格证明材料.docx 技术偏离表.docx 投标函 残疾人福利性单位声明函 标的清单 供应商诚信承诺书.docx 投标文件封面 商务偏离表.docx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；（3）每项均未超过标的金额；（4）总价未超出采购包采购预算或最高限价；</w:t>
            </w:r>
          </w:p>
        </w:tc>
        <w:tc>
          <w:tcPr>
            <w:tcW w:type="dxa" w:w="1661"/>
          </w:tcPr>
          <w:p>
            <w:pPr>
              <w:pStyle w:val="null3"/>
            </w:pPr>
            <w:r>
              <w:rPr>
                <w:rFonts w:ascii="仿宋_GB2312" w:hAnsi="仿宋_GB2312" w:cs="仿宋_GB2312" w:eastAsia="仿宋_GB2312"/>
              </w:rPr>
              <w:t>开标一览表.docx 开标一览表 关于符合本国产品标准的声明函.docx 分项报价设备清单（采购包2）.docx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在符合性审查环节提供核心产品（文化产业创新创意实践系统、VR展示及维护单元）品牌不足3个的，视为有效投标人不足3家。</w:t>
            </w:r>
          </w:p>
        </w:tc>
        <w:tc>
          <w:tcPr>
            <w:tcW w:type="dxa" w:w="1661"/>
          </w:tcPr>
          <w:p>
            <w:pPr>
              <w:pStyle w:val="null3"/>
            </w:pPr>
            <w:r>
              <w:rPr>
                <w:rFonts w:ascii="仿宋_GB2312" w:hAnsi="仿宋_GB2312" w:cs="仿宋_GB2312" w:eastAsia="仿宋_GB2312"/>
              </w:rPr>
              <w:t>分项报价设备清单（采购包2）.docx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分项报价设备清单（采购包2）.docx 技术偏离表.docx 标的清单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分项报价设备清单（采购包2）.docx 中小企业声明函 拒绝商业贿赂承诺书.docx 投标人应提交的相关资格证明材料.docx 技术偏离表.docx 投标函 残疾人福利性单位声明函 标的清单 供应商诚信承诺书.docx 投标文件封面 商务偏离表.docx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投标产品指标完全满足招标要求的得26.00分，带 “▲”条款项（共10项）为重要技术参数要求，每有一项未响应或不满足的扣1.0分，其他技术参数（共50项，不含演示项）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 响应文件产品选型合理，运行稳定、配套性好，完全满足采购要求，得1分； 响应文件产品选型配备较差，配套性一般，满足采购要求，得0.5分，未提供不得分。 2、质量保证： 提供所投产品的合法来源渠道证明文件（包括但不限于销售协议或代理协议或原厂授权等），符合要求的得1.5分，不满足或未提供不得分； 3.质量保证范围承诺：承诺内容包括但不限于①质保期内的定期巡检，②质保期外的维修服务内容，③产品使用寿命承诺等，每提供1项得0.5分，最高得1.5分，未提供不得分。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方案完善、科学合理、具体可行计4分； 方案较完善、较科学合理、可行计3分； 方案一般，基本符合采购人需求的计1分；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投标人针对本项目有详细的人员组织安排：责任分工明确，从①供货、②安装并调试、③调配、④运输、⑤派送有保障，保证项目按期完工达到验收标准，完全响应提供上述内容的得2分；某一项不完整或与实际需求不符或不满足要求或与本项目需求不切合或直接套用其他项目内容的扣0.4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针对本项目有具体的培训方案，该方案包含：①培训目标及内容和培训计划安排；②人员安排；完全响应提供上述2项内容的得2.0分，每缺少一项扣1.0 分，某一项不完整或与实际需求不符或不满足要求或与本项目需求不切合或直接套用其他项目内容的扣0.5分，未提供不得分。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针对本项目有具体的售后服务方案,该方案包含：①售后服务承诺；②售后服务保障措施；③售后人员配置安排计划及售故障处理响应时间；完全响应提供上述3项内容的得6.0分每缺少一项扣2.0 分，某一项不完整或与实际需求不符或不满足要求或与本项目需求不切合或直接套用其他项目内容的扣1分，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质保期（满足采购要求前提下）每延长一年得1分，最高得2分；不满足或未提供不得分。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根据供应商提供的满足技术要求的实物演示视频（视频演示时间不超过 15 分钟，包括但不仅限于展示设备、演示产品功能及操作便利性、产品性能优势等）进行评审，演示视频中展示设备与所投产品型号、配置的一致性，产品功能介绍完整详细、操作便利快捷，完全满足使用要求综合评审，每提供1项符合要求的内容得 2 分，最高得10分，本项内容缺失或与本项目无关得 0 分，未提供不得分。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3、演示视频以U盘形式现场递交给代理结构留存。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开标截止时间前同类货物（教学仪器设备）合同（以合同签订日期为准），每提供1份符合要求的得1分，最高得4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满足招标文件要求且投标价格最低的投标报价为评标基准价，其价格分为满分。其他投标供应商的价格分统一按照下列公式计算：投标报价得分=（评标基准价/投标报价）×40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投标产品指标完全满足招标要求的得25.00分，带 “▲”条款项（共10项）为重要技术参数要求，每有一项未响应或不满足的扣1.0分，其他技术参数（共75项，不含演示项）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 响应文件产品选型合理，运行稳定、配套性好，完全满足采购要求，得1分； 响应文件产品选型配备较差，配套性一般，满足采购要求，得0.5分，未提供不得分。 2、质量保证： 提供所投产品的合法来源渠道证明文件（包括但不限于销售协议或代理协议或原厂授权等），符合要求的得1.5分，不满足或未提供不得分； 3.质量保证范围承诺：承诺内容包括但不限于①质保期内的定期巡检，②质保期外的维修服务内容，③产品使用寿命承诺等，每提供1项得0.5分，最高得1.5分，未提供不得分。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方案完善、科学合理、具体可行计4分； 方案较完善、较科学合理、可行计3分； 方案一般，基本符合采购人需求的计1分；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投标人针对本项目有详细的人员组织安排：责任分工明确，从①供货、②安装并调试、③调配、④运输、⑤派送有保障，保证项目按期完工达到验收标准，完全响应提供上述内容的得2分；某一项不完整或与实际需求不符或不满足要求或与本项目需求不切合或直接套用其他项目内容的扣0.4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针对本项目有具体的培训方案，该方案包含：①培训目标及内容和培训计划安排；②人员安排；完全响应提供上述内容的得2.0分，每缺少一项扣1.0 分，某一项不完整或与实际需求不符或不满足要求或与本项目需求不切合或直接套用其他项目内容的扣0.5分，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针对本项目有具体的售后服务方案,该方案包含：①售后服务承诺；②售后服务保障措施；③售后人员配置安排计划及售故障处理响应时间；完全响应提供上述3项内容的得6.0分每缺少一项扣2.0 分，某一项不完整或与实际需求不符或不满足要求或与本项目需求不切合或直接套用其他项目内容的扣1分，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质保期（满足采购要求前提下）每延长一年得1分，最高得2分；不满足或未提供不得分。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根据供应商提供的满足技术要求的实物演示视频（视频演示时间不超过 15 分钟，包括但不仅限于展示设备、演示产品功能及操作便利性、产品性能优势等）进行评审，演示视频中展示设备与所投产品型号、配置的一致性，产品功能介绍完整详细、操作便利快捷，完全满足使用要求综合评审，每提供1项符合要求的内容得 2 分；最高得10分，本项内容缺失或与本项目无关得 0 分，未提供得0分。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3、演示视频以U盘形式现场递交给代理结构留存。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开标截止时间前同类货物（教学仪器设备）合同（以合同签订日期为准），每提供1个符合要求的得1分，最高得5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满足招标文件要求且投标价格最低的投标报价为评标基准价，其价格分为满分。其他投标供应商的价格分统一按照下列公式计算：投标报价得分=（评标基准价/投标报价）×40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分项报价设备清单（采购包2）.docx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分项报价设备清单（采购包2）.docx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详见附件：分项报价设备清单（采购包2）.docx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