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版本号：ZX2026-04-1420260422001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附属中学楼屋面防水项目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ZX2026-04-14</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附属中学楼屋面防水项目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附属中学楼屋面防水项目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西北大学附属中学楼屋面防水项目，具体内容详见第三章。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采购包1（附属中学楼屋面防水项目）：属于专门面向中小企业采购。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2、供应商资质：供应商提供有效的建设行政主管部门核发的防水防腐保温工程专业承包二级及以上资质。</w:t>
      </w:r>
    </w:p>
    <w:p>
      <w:pPr>
        <w:pStyle w:val="null3"/>
      </w:pPr>
      <w:r>
        <w:rPr>
          <w:rFonts w:ascii="仿宋_GB2312" w:hAnsi="仿宋_GB2312" w:cs="仿宋_GB2312" w:eastAsia="仿宋_GB2312"/>
        </w:rPr>
        <w:t>3、安全生产许可证：供应商提供有效的安全生产许可证。</w:t>
      </w:r>
    </w:p>
    <w:p>
      <w:pPr>
        <w:pStyle w:val="null3"/>
      </w:pPr>
      <w:r>
        <w:rPr>
          <w:rFonts w:ascii="仿宋_GB2312" w:hAnsi="仿宋_GB2312" w:cs="仿宋_GB2312" w:eastAsia="仿宋_GB2312"/>
        </w:rPr>
        <w:t>4、项目负责人资质和专业要求：拟派项目经理须提供建筑工程专业二级（含二级）及以上建造师资格，同时提供有效的安全生产考核合格证（建安B证），且无在建项目（提供无在建工程承诺书）。</w:t>
      </w:r>
    </w:p>
    <w:p>
      <w:pPr>
        <w:pStyle w:val="null3"/>
      </w:pPr>
      <w:r>
        <w:rPr>
          <w:rFonts w:ascii="仿宋_GB2312" w:hAnsi="仿宋_GB2312" w:cs="仿宋_GB2312" w:eastAsia="仿宋_GB2312"/>
        </w:rPr>
        <w:t>5、陕西省建筑市场监管与诚信信息发布平台：省外企业须在“陕西省建筑市场监管与诚信信息发布平台”企业库可查询（附完整的查询结果截图加盖供应商公章）。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马演 曹婷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A100309 建筑防水卷材及制品，A10030901 沥青和改性沥青防水卷材，HJ455 防水卷材</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采购包1保证金金额：10,414.00元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凭成交通知书向采购人缴纳合同金额的5%作为履约保证金，缴纳方式：银行转账、支票/汇票/本票、保函/保险；退还方式：工程竣工验收合格后凭收据和验收单复印件无息退还。2.转账账号：西北大学；611301015018001145006；交通银行西安学府大街支行。3.履约保证金汇款后，可持银行回执到西北大学采购与招标办公室换取收据。待合同执行完毕、项目验收合格后凭验收单和缴款收据，履约保证金予以无息退还。如遇下列情况之一者，履约保证金不予退还，作为对采购人的赔偿： （1）合同签订后不能按合同时限要求完工的； （2）项目与合同不符或验收不合格的；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代理服务费收费标准：参照国家计委计价格[2002]1980号及发改办价格[2003]857号通知规定下浮20%，由中标人支付代理服务费。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踏勘时间：2026-04-30 10:00:00</w:t>
            </w:r>
          </w:p>
          <w:p>
            <w:pPr>
              <w:pStyle w:val="null3"/>
              <w:ind w:firstLine="975"/>
            </w:pPr>
            <w:r>
              <w:rPr>
                <w:rFonts w:ascii="仿宋_GB2312" w:hAnsi="仿宋_GB2312" w:cs="仿宋_GB2312" w:eastAsia="仿宋_GB2312"/>
              </w:rPr>
              <w:t>踏勘地点：西北大学附属中学桃园校区（本项目统一组织踏勘，供应商应于踏勘时间前准时到达集合地点。）</w:t>
            </w:r>
          </w:p>
          <w:p>
            <w:pPr>
              <w:pStyle w:val="null3"/>
              <w:ind w:firstLine="975"/>
            </w:pPr>
            <w:r>
              <w:rPr>
                <w:rFonts w:ascii="仿宋_GB2312" w:hAnsi="仿宋_GB2312" w:cs="仿宋_GB2312" w:eastAsia="仿宋_GB2312"/>
              </w:rPr>
              <w:t>联系人：马工</w:t>
            </w:r>
          </w:p>
          <w:p>
            <w:pPr>
              <w:pStyle w:val="null3"/>
              <w:ind w:firstLine="975"/>
            </w:pPr>
            <w:r>
              <w:rPr>
                <w:rFonts w:ascii="仿宋_GB2312" w:hAnsi="仿宋_GB2312" w:cs="仿宋_GB2312" w:eastAsia="仿宋_GB2312"/>
              </w:rPr>
              <w:t>联系电话号码：18066660765</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联系人：马演、祁鑫</w:t>
      </w:r>
    </w:p>
    <w:p>
      <w:pPr>
        <w:pStyle w:val="null3"/>
      </w:pPr>
      <w:r>
        <w:rPr>
          <w:rFonts w:ascii="仿宋_GB2312" w:hAnsi="仿宋_GB2312" w:cs="仿宋_GB2312" w:eastAsia="仿宋_GB2312"/>
        </w:rPr>
        <w:t>联系电话：029-88110800转8032（438904813@qq.com）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595,000.00</w:t>
      </w:r>
    </w:p>
    <w:p>
      <w:pPr>
        <w:pStyle w:val="null3"/>
      </w:pPr>
      <w:r>
        <w:rPr>
          <w:rFonts w:ascii="仿宋_GB2312" w:hAnsi="仿宋_GB2312" w:cs="仿宋_GB2312" w:eastAsia="仿宋_GB2312"/>
        </w:rPr>
        <w:t>采购包最高限价（元）: 593,624.80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附属中学楼屋面防水项目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595,000.00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标的名称：附属中学楼屋面防水项目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一、施工范围及工作内容</w:t>
            </w:r>
          </w:p>
          <w:p>
            <w:pPr>
              <w:pStyle w:val="null3"/>
            </w:pPr>
            <w:r>
              <w:rPr>
                <w:rFonts w:ascii="仿宋_GB2312" w:hAnsi="仿宋_GB2312" w:cs="仿宋_GB2312" w:eastAsia="仿宋_GB2312"/>
              </w:rPr>
              <w:t>公寓二号楼、教学三号楼、浴室：1、拆除屋面旧防水层及架空板；2、基层修补处理、50mm水泥找平；3、新做SBS改性沥青防水卷材；4、铺设100mm厚保温板；5、雨水管拆除换新、新增排气孔排气管、垃圾外运等。</w:t>
            </w:r>
          </w:p>
          <w:p>
            <w:pPr>
              <w:pStyle w:val="null3"/>
            </w:pPr>
            <w:r>
              <w:rPr>
                <w:rFonts w:ascii="仿宋_GB2312" w:hAnsi="仿宋_GB2312" w:cs="仿宋_GB2312" w:eastAsia="仿宋_GB2312"/>
              </w:rPr>
              <w:t>具体详见工程量清单、任务书。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屋面工程质量验收规范》GB50207-2012及国家《建筑工程施工质量验收统一标准》相关规范及标准。应达到国家质量评定合格标准并符合甲方的使用需要。安全、文明施工：严格遵守安全防护和文明施工的规定，不得使用不符合安全施工要求的安全防护用具、机械设备、施工机具等。 质量保证及验收标准： 1.供应商应遵循现行的国家标准或国家行政部门颁布的法律法规、规章制度等，自觉采用行业较高施工作业标准，高标准完成施工内容，确保施工品质。没有国家标准的，可以参考行业最新标涨。 2.所交付工程不符合其投标承诺，存在偷工减料、以次充好情形的，采购人要求更换一次后仍不符合约定的，采购人有权解除采购合同，没收约保证金，并将有关情况上报政府采购监管部门处理。 3.工程质量达到国家现行施工验收规范合格标准并符合采购文件、合同以及采购方使用需求，按照实际情况组织现场验收。验收标准：符合《屋面工程质量验收规范》GB50207-2012及国家《建筑工程施工质量验收统一标准》相关规范及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1、工期：自合同签订之日起30日历天。 2、施工地点：西北大学附属中学桃园校区。 3、质保期：本项目质保期自竣工验收合格之日起60个月。供应商可在此基础上根据企业自身情况自主承诺予以延长。 4、工程质量：应达到国家质量评定合格标准并符合甲方的使用需要。 安全、文明施工：严格遵守安全防护和文明施工的规定，不得使用不符合安全施工要求的安全防护用具、机械设备、施工机具等。 5、合同价款 ①本项目采用固定综合单价合同。 ②综合单价修正系数： 修正系数=磋商最终报价/首次报价。 2.变更、签证价款①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 6、采购资金的支付方式及时间：本项目无预付款，待工程竣工验收合格后付至合同金额的80% ；经学校审计后付至审定金额的 100% ；但前期支付金额超过审定金额的，成交供应商应当退还。 7、违约责任：成交供应商所交付工程不符合其投标承诺，存在偷工减料、以次充好情形的，采购人要求更换一次后仍不符合约定的，采购人有权解除采购合同，没收履约保证金，并将有关情况上报政府采购监管部门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磋商保证金注意事项：（1）磋商保证金须从供应商户名支付，如从个人户名或非供应商户名支付，将被拒绝，视为自动放弃投标权利（该个人是供应商的情形除外）；以保函形式交纳磋商保证金的，供应商应在磋商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 连带责任； （2）磋商保证金的提交金额、时间不满足磋商文件要求的，响应无效； （3）磋商保证金以采购代理机构到账凭证为准，供应商无需更换交纳凭证，由采购代理机构统一提供。 （4）未按指定账户提交的，我公司将退回，供应商须在文件递交截止时间前按照指定账户再次提交。 3.3.2供应商无正当理由拒签合同的，或在接到成交通知书规定的时间内，借故拖延、拒签合同者，采购人取消其成交资格，其投标保证金不予退还； 给采购人造成的损失超过投标保证金数额的，供应商还应对超过部分予以赔偿。同时报请政府采购监督机构通报全省，取消其进入政府采购市场的资格，并按规定予以处罚。 3.3.3磋商总报价：磋商总报价是指包括完成该工程项目的直接费、间接费、利润、规费、税金、措施费用和供应商必须的其它费用以及磋商文件或合同明示或暗示的所有风险、责任和义务等全部费用。任何有选择的报价将不予接受，否则按无效投标处理。 3.3.4踏勘注意事项：（1）请各供应商在踏勘时间前，将踏勘人员姓名及手机号码发送至代理机构邮箱（438904813@qq.com）；（2）供应商因自身原因未按时进行现场踏勘，而导致的任何风险，由供应商自行承担；（3）凡因对施工现场、施工环境、市场行情等了解不清而造成的后果和风险，由供应商自行承担；（4）踏勘相关费用及安全由供应商自行承担；（5）踏勘时各供应商有疑问可以在现场提出，由采购人当场解答，否则视为供应商再无疑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 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供应商提供有效的建设行政主管部门核发的防水防腐保温工程专业承包二级及以上资质。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供应商提供有效的安全生产许可证。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拟派项目经理须提供建筑工程专业二级（含二级）及以上建造师资格，同时提供有效的安全生产考核合格证（建安B证），且无在建项目（提供无在建工程承诺书）。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政府采购异常低价审查：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响应文件按照磋商文件规定要求签署、盖章的；已标价工程量清单的扉页（仅指投标总价扉页）需加盖有注册或登记在工程造价咨询企业的造价人员签字并盖执业印章。</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供应商资格证明文件.docx 主要人员简历表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满足本磋商文件中第三章“三、针对本项目的其他技术服务要求”条款内容的。</w:t>
            </w:r>
          </w:p>
        </w:tc>
        <w:tc>
          <w:tcPr>
            <w:tcW w:type="dxa" w:w="1661"/>
          </w:tcPr>
          <w:p>
            <w:pPr>
              <w:pStyle w:val="null3"/>
            </w:pPr>
            <w:r>
              <w:rPr>
                <w:rFonts w:ascii="仿宋_GB2312" w:hAnsi="仿宋_GB2312" w:cs="仿宋_GB2312" w:eastAsia="仿宋_GB2312"/>
              </w:rPr>
              <w:t>实质性商务部分偏离表.docx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16其他资料.docx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整体施工方案</w:t>
            </w:r>
          </w:p>
        </w:tc>
        <w:tc>
          <w:tcPr>
            <w:tcW w:type="dxa" w:w="2492"/>
          </w:tcPr>
          <w:p>
            <w:pPr>
              <w:pStyle w:val="null3"/>
            </w:pPr>
            <w:r>
              <w:rPr>
                <w:rFonts w:ascii="仿宋_GB2312" w:hAnsi="仿宋_GB2312" w:cs="仿宋_GB2312" w:eastAsia="仿宋_GB2312"/>
              </w:rPr>
              <w:t>供应商提供针对本项目的整体施工方案，内容至少包括①施工整体流程，关键部位施工方案(至少包含施工准备工作、施工方法及措施) ；②施工工艺；③劳动力配置计划；④施工现场设施保护及成品保护方案。施工方案应符合采购项目特点及要求，描述详尽且有利于项目实施。 上述4项内容，每提供1项内容计2分，每项内容存在1处瑕疵扣0.5分；满分8分。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1整体施工方案.docx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供应商提供针对本项目的施工组织设计，内容至少包括①施工资源投入计划（劳动力、机械设备和主要材料的投入计划）；②新技术、新产品、新工艺、新材料的应用；③工程竣工验收、结算、移交的组织和配合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供应商针对本项目工期要求及施工特点，提供针对本项目的施工进度计划，内容至少包括①工程总进度施工计划安排；②提供施工进度计划横道图；③进度控制保证措施。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3施工进度计划.docx</w:t>
            </w:r>
          </w:p>
        </w:tc>
      </w:tr>
      <w:tr>
        <w:tc>
          <w:tcPr>
            <w:tcW w:type="dxa" w:w="831"/>
            <w:vMerge/>
          </w:tcPr>
          <w:p/>
        </w:tc>
        <w:tc>
          <w:tcPr>
            <w:tcW w:type="dxa" w:w="1661"/>
          </w:tcPr>
          <w:p>
            <w:pPr>
              <w:pStyle w:val="null3"/>
            </w:pPr>
            <w:r>
              <w:rPr>
                <w:rFonts w:ascii="仿宋_GB2312" w:hAnsi="仿宋_GB2312" w:cs="仿宋_GB2312" w:eastAsia="仿宋_GB2312"/>
              </w:rPr>
              <w:t>工程质量保障方案</w:t>
            </w:r>
          </w:p>
        </w:tc>
        <w:tc>
          <w:tcPr>
            <w:tcW w:type="dxa" w:w="2492"/>
          </w:tcPr>
          <w:p>
            <w:pPr>
              <w:pStyle w:val="null3"/>
            </w:pPr>
            <w:r>
              <w:rPr>
                <w:rFonts w:ascii="仿宋_GB2312" w:hAnsi="仿宋_GB2312" w:cs="仿宋_GB2312" w:eastAsia="仿宋_GB2312"/>
              </w:rPr>
              <w:t>供应商提供针对本项目的工程质量保障方案，内容至少包括①施工前期、中期、后期质量保障措施；②质量全过程检查制度；③关键点及重难点分析及应对措施。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4工程质量保障方案.docx</w:t>
            </w:r>
          </w:p>
        </w:tc>
      </w:tr>
      <w:tr>
        <w:tc>
          <w:tcPr>
            <w:tcW w:type="dxa" w:w="831"/>
            <w:vMerge/>
          </w:tcPr>
          <w:p/>
        </w:tc>
        <w:tc>
          <w:tcPr>
            <w:tcW w:type="dxa" w:w="1661"/>
          </w:tcPr>
          <w:p>
            <w:pPr>
              <w:pStyle w:val="null3"/>
            </w:pPr>
            <w:r>
              <w:rPr>
                <w:rFonts w:ascii="仿宋_GB2312" w:hAnsi="仿宋_GB2312" w:cs="仿宋_GB2312" w:eastAsia="仿宋_GB2312"/>
              </w:rPr>
              <w:t>安全文明环保施工方案</w:t>
            </w:r>
          </w:p>
        </w:tc>
        <w:tc>
          <w:tcPr>
            <w:tcW w:type="dxa" w:w="2492"/>
          </w:tcPr>
          <w:p>
            <w:pPr>
              <w:pStyle w:val="null3"/>
            </w:pPr>
            <w:r>
              <w:rPr>
                <w:rFonts w:ascii="仿宋_GB2312" w:hAnsi="仿宋_GB2312" w:cs="仿宋_GB2312" w:eastAsia="仿宋_GB2312"/>
              </w:rPr>
              <w:t>供应商提供针对本项目的安全文明施工方案，内容至少包括①安全管理组织机构、安全生产管理制度及安全保障措施；②文明施工与环境管理的组织机构及文明施工与现场环境保护的控制措施；③垃圾处理。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5安全文明环保施工方案.docx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供应商提供针对本项目的组织机构，内容至少包括①组织机构框架及岗位设置；②项目人员构成情况（岗位设置、专业种类及能力、有技术职称的人员比例）。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6项目组织机构.docx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①项目经理具有工程类高级及以上职称的得2分，中级职称的得1分，其他的不得分。注：需提供身份证、职称证。 ②项目经理具有类似项目（需包含防水施工）经验，每提供1份2023年4月1日至今业绩得1分，最高3分。注：需提供合同或验收报告或中标公告截图，且合同或验收报告或中标公告截图中能显示项目经理的名字。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7项目经理.docx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主要材料清单</w:t>
            </w:r>
          </w:p>
        </w:tc>
        <w:tc>
          <w:tcPr>
            <w:tcW w:type="dxa" w:w="2492"/>
          </w:tcPr>
          <w:p>
            <w:pPr>
              <w:pStyle w:val="null3"/>
            </w:pPr>
            <w:r>
              <w:rPr>
                <w:rFonts w:ascii="仿宋_GB2312" w:hAnsi="仿宋_GB2312" w:cs="仿宋_GB2312" w:eastAsia="仿宋_GB2312"/>
              </w:rPr>
              <w:t>供应商针对本项目主要材料需求，提供本项目施工所需主要材料清单，品目完整，品牌明确完整计4.5分，内容不完整或品牌不明确不计分。 主要材料至少包含保温板、水泥砂浆、防水卷材、冷底油、雨水管。</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8主要材料清单.docx</w:t>
            </w:r>
          </w:p>
        </w:tc>
      </w:tr>
      <w:tr>
        <w:tc>
          <w:tcPr>
            <w:tcW w:type="dxa" w:w="831"/>
            <w:vMerge/>
          </w:tcPr>
          <w:p/>
        </w:tc>
        <w:tc>
          <w:tcPr>
            <w:tcW w:type="dxa" w:w="1661"/>
          </w:tcPr>
          <w:p>
            <w:pPr>
              <w:pStyle w:val="null3"/>
            </w:pPr>
            <w:r>
              <w:rPr>
                <w:rFonts w:ascii="仿宋_GB2312" w:hAnsi="仿宋_GB2312" w:cs="仿宋_GB2312" w:eastAsia="仿宋_GB2312"/>
              </w:rPr>
              <w:t>主要材料货源渠道</w:t>
            </w:r>
          </w:p>
        </w:tc>
        <w:tc>
          <w:tcPr>
            <w:tcW w:type="dxa" w:w="2492"/>
          </w:tcPr>
          <w:p>
            <w:pPr>
              <w:pStyle w:val="null3"/>
            </w:pPr>
            <w:r>
              <w:rPr>
                <w:rFonts w:ascii="仿宋_GB2312" w:hAnsi="仿宋_GB2312" w:cs="仿宋_GB2312" w:eastAsia="仿宋_GB2312"/>
              </w:rPr>
              <w:t>供应商提供本项目施工所须主要材料（保温板、水泥砂浆、防水卷材、冷底油、雨水管）货源渠道证明，包括但不限于销售协议或厂家授权等。每提供一个产品计0.5分，满分2.5分。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9主要材料货源渠道.docx</w:t>
            </w:r>
          </w:p>
        </w:tc>
      </w:tr>
      <w:tr>
        <w:tc>
          <w:tcPr>
            <w:tcW w:type="dxa" w:w="831"/>
            <w:vMerge/>
          </w:tcPr>
          <w:p/>
        </w:tc>
        <w:tc>
          <w:tcPr>
            <w:tcW w:type="dxa" w:w="1661"/>
          </w:tcPr>
          <w:p>
            <w:pPr>
              <w:pStyle w:val="null3"/>
            </w:pPr>
            <w:r>
              <w:rPr>
                <w:rFonts w:ascii="仿宋_GB2312" w:hAnsi="仿宋_GB2312" w:cs="仿宋_GB2312" w:eastAsia="仿宋_GB2312"/>
              </w:rPr>
              <w:t>主要材料选型说明</w:t>
            </w:r>
          </w:p>
        </w:tc>
        <w:tc>
          <w:tcPr>
            <w:tcW w:type="dxa" w:w="2492"/>
          </w:tcPr>
          <w:p>
            <w:pPr>
              <w:pStyle w:val="null3"/>
            </w:pPr>
            <w:r>
              <w:rPr>
                <w:rFonts w:ascii="仿宋_GB2312" w:hAnsi="仿宋_GB2312" w:cs="仿宋_GB2312" w:eastAsia="仿宋_GB2312"/>
              </w:rPr>
              <w:t>供应商提供本项目施工所供主材选型说明（需包括规格型号、技术说明或制作工艺等）及质量保障措施、检测报告证明。 产品符合项目特征，资料齐全，满足项目实施要求，无瑕疵：7分； 内容每存在1处瑕疵扣1分； 内容存在7处及以上瑕疵或未提供计0分。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10主要材料选型说明.docx</w:t>
            </w:r>
          </w:p>
        </w:tc>
      </w:tr>
      <w:tr>
        <w:tc>
          <w:tcPr>
            <w:tcW w:type="dxa" w:w="831"/>
            <w:vMerge/>
          </w:tcPr>
          <w:p/>
        </w:tc>
        <w:tc>
          <w:tcPr>
            <w:tcW w:type="dxa" w:w="1661"/>
          </w:tcPr>
          <w:p>
            <w:pPr>
              <w:pStyle w:val="null3"/>
            </w:pPr>
            <w:r>
              <w:rPr>
                <w:rFonts w:ascii="仿宋_GB2312" w:hAnsi="仿宋_GB2312" w:cs="仿宋_GB2312" w:eastAsia="仿宋_GB2312"/>
              </w:rPr>
              <w:t>主材质量保证承诺</w:t>
            </w:r>
          </w:p>
        </w:tc>
        <w:tc>
          <w:tcPr>
            <w:tcW w:type="dxa" w:w="2492"/>
          </w:tcPr>
          <w:p>
            <w:pPr>
              <w:pStyle w:val="null3"/>
            </w:pPr>
            <w:r>
              <w:rPr>
                <w:rFonts w:ascii="仿宋_GB2312" w:hAnsi="仿宋_GB2312" w:cs="仿宋_GB2312" w:eastAsia="仿宋_GB2312"/>
              </w:rPr>
              <w:t>供应商提供施工所须主要材料无假冒产品、无翻新产品的书面承诺并加盖供应商公章，得2分。 注：未提供承诺书不得分，承诺书格式自拟。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11主材质量保证承诺.docx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2023年4月1日至今同类项目合同扫描件（以合同签订日期为准）（已完工）及验收资料，扫描件必须清晰体现签约主体和日期、项目名称及内容、合同金额等核心要素，否则不计为有效业绩。每提供1个有效业绩得1分，最高得5分。 备注：响应文件中提供合同扫描件及验收资料加盖供应商公章。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在满足采购文件要求质保期（60个月即5年）的基础上，供应商可根据自身情况延长质保年限，质保期每增加1年得1分，最高5分。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13质保期.docx</w:t>
            </w:r>
          </w:p>
        </w:tc>
      </w:tr>
      <w:tr>
        <w:tc>
          <w:tcPr>
            <w:tcW w:type="dxa" w:w="831"/>
            <w:vMerge/>
          </w:tcPr>
          <w:p/>
        </w:tc>
        <w:tc>
          <w:tcPr>
            <w:tcW w:type="dxa" w:w="1661"/>
          </w:tcPr>
          <w:p>
            <w:pPr>
              <w:pStyle w:val="null3"/>
            </w:pPr>
            <w:r>
              <w:rPr>
                <w:rFonts w:ascii="仿宋_GB2312" w:hAnsi="仿宋_GB2312" w:cs="仿宋_GB2312" w:eastAsia="仿宋_GB2312"/>
              </w:rPr>
              <w:t>保修期内服务方案</w:t>
            </w:r>
          </w:p>
        </w:tc>
        <w:tc>
          <w:tcPr>
            <w:tcW w:type="dxa" w:w="2492"/>
          </w:tcPr>
          <w:p>
            <w:pPr>
              <w:pStyle w:val="null3"/>
            </w:pPr>
            <w:r>
              <w:rPr>
                <w:rFonts w:ascii="仿宋_GB2312" w:hAnsi="仿宋_GB2312" w:cs="仿宋_GB2312" w:eastAsia="仿宋_GB2312"/>
              </w:rPr>
              <w:t>供应商针对本项目有详细具体的保修期内服务方案，包括但不限于①保修期内服务内容，问题响应及解决时间；②服务人员配备。 上述2项内容，每提供1项内容计2.5分，每项内容存在1处瑕疵扣0.5分；满分5分。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14保修期内服务方案.docx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供应商磋商产品（防水卷材）为环境标志产品经国家认证的得1分。（以经国家确定的认证机构出具的、处于有效期内的节能产品、环境标志产品认证证书为准。）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详见附件：实质性商务部分偏离表.docx</w:t>
      </w:r>
    </w:p>
    <w:p>
      <w:pPr>
        <w:pStyle w:val="null3"/>
        <w:ind w:firstLine="960"/>
      </w:pPr>
      <w:r>
        <w:rPr>
          <w:rFonts w:ascii="仿宋_GB2312" w:hAnsi="仿宋_GB2312" w:cs="仿宋_GB2312" w:eastAsia="仿宋_GB2312"/>
        </w:rPr>
        <w:t>详见附件：1整体施工方案.docx</w:t>
      </w:r>
    </w:p>
    <w:p>
      <w:pPr>
        <w:pStyle w:val="null3"/>
        <w:ind w:firstLine="960"/>
      </w:pPr>
      <w:r>
        <w:rPr>
          <w:rFonts w:ascii="仿宋_GB2312" w:hAnsi="仿宋_GB2312" w:cs="仿宋_GB2312" w:eastAsia="仿宋_GB2312"/>
        </w:rPr>
        <w:t>详见附件：2施工组织设计.docx</w:t>
      </w:r>
    </w:p>
    <w:p>
      <w:pPr>
        <w:pStyle w:val="null3"/>
        <w:ind w:firstLine="960"/>
      </w:pPr>
      <w:r>
        <w:rPr>
          <w:rFonts w:ascii="仿宋_GB2312" w:hAnsi="仿宋_GB2312" w:cs="仿宋_GB2312" w:eastAsia="仿宋_GB2312"/>
        </w:rPr>
        <w:t>详见附件：3施工进度计划.docx</w:t>
      </w:r>
    </w:p>
    <w:p>
      <w:pPr>
        <w:pStyle w:val="null3"/>
        <w:ind w:firstLine="960"/>
      </w:pPr>
      <w:r>
        <w:rPr>
          <w:rFonts w:ascii="仿宋_GB2312" w:hAnsi="仿宋_GB2312" w:cs="仿宋_GB2312" w:eastAsia="仿宋_GB2312"/>
        </w:rPr>
        <w:t>详见附件：4工程质量保障方案.docx</w:t>
      </w:r>
    </w:p>
    <w:p>
      <w:pPr>
        <w:pStyle w:val="null3"/>
        <w:ind w:firstLine="960"/>
      </w:pPr>
      <w:r>
        <w:rPr>
          <w:rFonts w:ascii="仿宋_GB2312" w:hAnsi="仿宋_GB2312" w:cs="仿宋_GB2312" w:eastAsia="仿宋_GB2312"/>
        </w:rPr>
        <w:t>详见附件：5安全文明环保施工方案.docx</w:t>
      </w:r>
    </w:p>
    <w:p>
      <w:pPr>
        <w:pStyle w:val="null3"/>
        <w:ind w:firstLine="960"/>
      </w:pPr>
      <w:r>
        <w:rPr>
          <w:rFonts w:ascii="仿宋_GB2312" w:hAnsi="仿宋_GB2312" w:cs="仿宋_GB2312" w:eastAsia="仿宋_GB2312"/>
        </w:rPr>
        <w:t>详见附件：6项目组织机构.docx</w:t>
      </w:r>
    </w:p>
    <w:p>
      <w:pPr>
        <w:pStyle w:val="null3"/>
        <w:ind w:firstLine="960"/>
      </w:pPr>
      <w:r>
        <w:rPr>
          <w:rFonts w:ascii="仿宋_GB2312" w:hAnsi="仿宋_GB2312" w:cs="仿宋_GB2312" w:eastAsia="仿宋_GB2312"/>
        </w:rPr>
        <w:t>详见附件：7项目经理.docx</w:t>
      </w:r>
    </w:p>
    <w:p>
      <w:pPr>
        <w:pStyle w:val="null3"/>
        <w:ind w:firstLine="960"/>
      </w:pPr>
      <w:r>
        <w:rPr>
          <w:rFonts w:ascii="仿宋_GB2312" w:hAnsi="仿宋_GB2312" w:cs="仿宋_GB2312" w:eastAsia="仿宋_GB2312"/>
        </w:rPr>
        <w:t>详见附件：8主要材料清单.docx</w:t>
      </w:r>
    </w:p>
    <w:p>
      <w:pPr>
        <w:pStyle w:val="null3"/>
        <w:ind w:firstLine="960"/>
      </w:pPr>
      <w:r>
        <w:rPr>
          <w:rFonts w:ascii="仿宋_GB2312" w:hAnsi="仿宋_GB2312" w:cs="仿宋_GB2312" w:eastAsia="仿宋_GB2312"/>
        </w:rPr>
        <w:t>详见附件：9主要材料货源渠道.docx</w:t>
      </w:r>
    </w:p>
    <w:p>
      <w:pPr>
        <w:pStyle w:val="null3"/>
        <w:ind w:firstLine="960"/>
      </w:pPr>
      <w:r>
        <w:rPr>
          <w:rFonts w:ascii="仿宋_GB2312" w:hAnsi="仿宋_GB2312" w:cs="仿宋_GB2312" w:eastAsia="仿宋_GB2312"/>
        </w:rPr>
        <w:t>详见附件：10主要材料选型说明.docx</w:t>
      </w:r>
    </w:p>
    <w:p>
      <w:pPr>
        <w:pStyle w:val="null3"/>
        <w:ind w:firstLine="960"/>
      </w:pPr>
      <w:r>
        <w:rPr>
          <w:rFonts w:ascii="仿宋_GB2312" w:hAnsi="仿宋_GB2312" w:cs="仿宋_GB2312" w:eastAsia="仿宋_GB2312"/>
        </w:rPr>
        <w:t>详见附件：11主材质量保证承诺.docx</w:t>
      </w:r>
    </w:p>
    <w:p>
      <w:pPr>
        <w:pStyle w:val="null3"/>
        <w:ind w:firstLine="960"/>
      </w:pPr>
      <w:r>
        <w:rPr>
          <w:rFonts w:ascii="仿宋_GB2312" w:hAnsi="仿宋_GB2312" w:cs="仿宋_GB2312" w:eastAsia="仿宋_GB2312"/>
        </w:rPr>
        <w:t>详见附件：13质保期.docx</w:t>
      </w:r>
    </w:p>
    <w:p>
      <w:pPr>
        <w:pStyle w:val="null3"/>
        <w:ind w:firstLine="960"/>
      </w:pPr>
      <w:r>
        <w:rPr>
          <w:rFonts w:ascii="仿宋_GB2312" w:hAnsi="仿宋_GB2312" w:cs="仿宋_GB2312" w:eastAsia="仿宋_GB2312"/>
        </w:rPr>
        <w:t>详见附件：14保修期内服务方案.docx</w:t>
      </w:r>
    </w:p>
    <w:p>
      <w:pPr>
        <w:pStyle w:val="null3"/>
        <w:ind w:firstLine="960"/>
      </w:pPr>
      <w:r>
        <w:rPr>
          <w:rFonts w:ascii="仿宋_GB2312" w:hAnsi="仿宋_GB2312" w:cs="仿宋_GB2312" w:eastAsia="仿宋_GB2312"/>
        </w:rPr>
        <w:t>详见附件：15节能环保.docx</w:t>
      </w:r>
    </w:p>
    <w:p>
      <w:pPr>
        <w:pStyle w:val="null3"/>
        <w:ind w:firstLine="960"/>
      </w:pPr>
      <w:r>
        <w:rPr>
          <w:rFonts w:ascii="仿宋_GB2312" w:hAnsi="仿宋_GB2312" w:cs="仿宋_GB2312" w:eastAsia="仿宋_GB2312"/>
        </w:rPr>
        <w:t>详见附件：16其他资料.docx</w:t>
      </w:r>
    </w:p>
    <w:p>
      <w:pPr>
        <w:pStyle w:val="null3"/>
        <w:ind w:firstLine="960"/>
      </w:pPr>
      <w:r>
        <w:rPr>
          <w:rFonts w:ascii="仿宋_GB2312" w:hAnsi="仿宋_GB2312" w:cs="仿宋_GB2312" w:eastAsia="仿宋_GB2312"/>
        </w:rPr>
        <w:t>详见附件：12供应商业绩.docx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