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AAC30A">
      <w:pPr>
        <w:pStyle w:val="10"/>
        <w:jc w:val="center"/>
        <w:outlineLvl w:val="1"/>
        <w:rPr>
          <w:rFonts w:hint="default"/>
        </w:rPr>
      </w:pPr>
      <w:r>
        <w:rPr>
          <w:rFonts w:ascii="仿宋_GB2312" w:hAnsi="仿宋_GB2312" w:eastAsia="仿宋_GB2312" w:cs="仿宋_GB2312"/>
          <w:b/>
          <w:sz w:val="36"/>
        </w:rPr>
        <w:t>拟签订采购合同文本</w:t>
      </w:r>
    </w:p>
    <w:p w14:paraId="02CE50D9">
      <w:pPr>
        <w:ind w:firstLine="723" w:firstLineChars="200"/>
        <w:rPr>
          <w:b/>
          <w:sz w:val="36"/>
        </w:rPr>
      </w:pPr>
      <w:r>
        <w:rPr>
          <w:rFonts w:hint="eastAsia"/>
          <w:b/>
          <w:sz w:val="36"/>
        </w:rPr>
        <w:t>（参考，最终以双方签订的正式合同为准）</w:t>
      </w:r>
    </w:p>
    <w:p w14:paraId="2F3646F5">
      <w:pPr>
        <w:ind w:firstLine="723" w:firstLineChars="200"/>
        <w:rPr>
          <w:b/>
          <w:sz w:val="36"/>
        </w:rPr>
      </w:pPr>
    </w:p>
    <w:p w14:paraId="119CC5B8">
      <w:pPr>
        <w:spacing w:line="360" w:lineRule="auto"/>
        <w:ind w:firstLine="482" w:firstLineChars="200"/>
        <w:rPr>
          <w:rFonts w:hint="eastAsia" w:ascii="宋体" w:hAnsi="宋体"/>
          <w:sz w:val="24"/>
        </w:rPr>
      </w:pPr>
      <w:r>
        <w:rPr>
          <w:rFonts w:hint="eastAsia" w:ascii="宋体" w:hAnsi="宋体"/>
          <w:b/>
          <w:sz w:val="24"/>
        </w:rPr>
        <w:t>项目名称：</w:t>
      </w:r>
      <w:r>
        <w:rPr>
          <w:rFonts w:hint="eastAsia" w:ascii="宋体" w:hAnsi="宋体"/>
          <w:sz w:val="24"/>
        </w:rPr>
        <w:t>陕西铁路工程职业技术学院</w:t>
      </w:r>
      <w:bookmarkStart w:id="0" w:name="OLE_LINK10"/>
      <w:bookmarkStart w:id="1" w:name="OLE_LINK9"/>
      <w:r>
        <w:rPr>
          <w:rFonts w:hint="eastAsia" w:ascii="宋体" w:hAnsi="宋体"/>
          <w:sz w:val="24"/>
        </w:rPr>
        <w:t>两校区建筑规划核实及房屋面积测绘服务</w:t>
      </w:r>
      <w:bookmarkEnd w:id="0"/>
    </w:p>
    <w:bookmarkEnd w:id="1"/>
    <w:p w14:paraId="4659E3D5">
      <w:pPr>
        <w:spacing w:line="360" w:lineRule="auto"/>
        <w:ind w:firstLine="482" w:firstLineChars="200"/>
        <w:rPr>
          <w:rFonts w:hint="eastAsia" w:ascii="宋体" w:hAnsi="宋体"/>
          <w:sz w:val="24"/>
        </w:rPr>
      </w:pPr>
      <w:r>
        <w:rPr>
          <w:rFonts w:hint="eastAsia" w:ascii="宋体" w:hAnsi="宋体"/>
          <w:b/>
          <w:sz w:val="24"/>
        </w:rPr>
        <w:t>甲    方：</w:t>
      </w:r>
      <w:bookmarkStart w:id="2" w:name="OLE_LINK21"/>
      <w:r>
        <w:rPr>
          <w:rFonts w:hint="eastAsia" w:ascii="宋体" w:hAnsi="宋体"/>
          <w:sz w:val="24"/>
        </w:rPr>
        <w:t>陕西铁路工程职业技术学院</w:t>
      </w:r>
      <w:bookmarkEnd w:id="2"/>
    </w:p>
    <w:p w14:paraId="018640DE">
      <w:pPr>
        <w:spacing w:line="360" w:lineRule="auto"/>
        <w:ind w:firstLine="482" w:firstLineChars="200"/>
        <w:rPr>
          <w:rFonts w:hint="eastAsia" w:ascii="宋体" w:hAnsi="宋体"/>
          <w:sz w:val="24"/>
        </w:rPr>
      </w:pPr>
      <w:r>
        <w:rPr>
          <w:rFonts w:hint="eastAsia" w:ascii="宋体" w:hAnsi="宋体"/>
          <w:b/>
          <w:sz w:val="24"/>
        </w:rPr>
        <w:t>乙    方：</w:t>
      </w:r>
      <w:r>
        <w:rPr>
          <w:rFonts w:hint="eastAsia" w:ascii="宋体" w:hAnsi="宋体"/>
          <w:sz w:val="24"/>
        </w:rPr>
        <w:t xml:space="preserve"> </w:t>
      </w:r>
    </w:p>
    <w:p w14:paraId="16733A00">
      <w:pPr>
        <w:spacing w:line="360" w:lineRule="auto"/>
        <w:ind w:firstLine="482" w:firstLineChars="200"/>
        <w:rPr>
          <w:rFonts w:hint="eastAsia" w:ascii="宋体" w:hAnsi="宋体"/>
          <w:b/>
          <w:sz w:val="24"/>
        </w:rPr>
      </w:pPr>
    </w:p>
    <w:p w14:paraId="5D84D210">
      <w:pPr>
        <w:spacing w:line="360" w:lineRule="auto"/>
        <w:ind w:firstLine="480" w:firstLineChars="200"/>
        <w:rPr>
          <w:rFonts w:hint="eastAsia" w:ascii="宋体" w:hAnsi="宋体"/>
          <w:sz w:val="24"/>
        </w:rPr>
      </w:pPr>
      <w:r>
        <w:rPr>
          <w:rFonts w:hint="eastAsia" w:ascii="宋体" w:hAnsi="宋体"/>
          <w:sz w:val="24"/>
        </w:rPr>
        <w:t>根据《中华人民共和国政府采购法》、《中华人民共和国民法典》、《中华人民共和国政府采购法实施条例》等法律法规，甲方通过竞争性磋商，选定乙方为成交响应单位。甲、乙双方在平等基础上协商一致，达成如下合同条款:</w:t>
      </w:r>
    </w:p>
    <w:p w14:paraId="4B7BA0C4">
      <w:pPr>
        <w:spacing w:line="360" w:lineRule="auto"/>
        <w:ind w:firstLine="480" w:firstLineChars="200"/>
        <w:rPr>
          <w:rFonts w:hint="eastAsia" w:ascii="宋体" w:hAnsi="宋体"/>
          <w:sz w:val="24"/>
        </w:rPr>
      </w:pPr>
      <w:r>
        <w:rPr>
          <w:rFonts w:hint="eastAsia" w:ascii="宋体" w:hAnsi="宋体"/>
          <w:sz w:val="24"/>
        </w:rPr>
        <w:t>一、项目概括</w:t>
      </w:r>
    </w:p>
    <w:p w14:paraId="08511A90">
      <w:pPr>
        <w:spacing w:line="360" w:lineRule="auto"/>
        <w:ind w:firstLine="480" w:firstLineChars="200"/>
        <w:rPr>
          <w:rFonts w:hint="eastAsia" w:ascii="宋体" w:hAnsi="宋体"/>
          <w:sz w:val="24"/>
        </w:rPr>
      </w:pPr>
      <w:r>
        <w:rPr>
          <w:rFonts w:hint="eastAsia" w:ascii="宋体" w:hAnsi="宋体"/>
          <w:sz w:val="24"/>
        </w:rPr>
        <w:t>1.项目名称：陕西铁路工程职业技术学院两校区建筑规划核实及房屋面积测绘服务</w:t>
      </w:r>
    </w:p>
    <w:p w14:paraId="2C920B49">
      <w:pPr>
        <w:spacing w:line="360" w:lineRule="auto"/>
        <w:ind w:firstLine="480" w:firstLineChars="200"/>
        <w:rPr>
          <w:rFonts w:hint="eastAsia" w:ascii="宋体" w:hAnsi="宋体"/>
          <w:sz w:val="24"/>
        </w:rPr>
      </w:pPr>
      <w:r>
        <w:rPr>
          <w:rFonts w:hint="eastAsia" w:ascii="宋体" w:hAnsi="宋体"/>
          <w:sz w:val="24"/>
        </w:rPr>
        <w:t>2.服务内容：</w:t>
      </w:r>
    </w:p>
    <w:p w14:paraId="63627CBF">
      <w:pPr>
        <w:spacing w:line="360" w:lineRule="auto"/>
        <w:ind w:firstLine="480" w:firstLineChars="200"/>
        <w:rPr>
          <w:rFonts w:hint="eastAsia" w:ascii="宋体" w:hAnsi="宋体"/>
          <w:sz w:val="24"/>
        </w:rPr>
      </w:pPr>
      <w:r>
        <w:rPr>
          <w:rFonts w:hint="eastAsia" w:ascii="宋体" w:hAnsi="宋体"/>
          <w:sz w:val="24"/>
        </w:rPr>
        <w:t>根据渭南市房屋所有权首次登记要求，办理房屋不动产登记须对建筑进行规划核实测量及房屋面积测量，根据测量结果完成登记工作。</w:t>
      </w:r>
    </w:p>
    <w:p w14:paraId="60B40C7E">
      <w:pPr>
        <w:spacing w:line="360" w:lineRule="auto"/>
        <w:ind w:firstLine="480" w:firstLineChars="200"/>
        <w:rPr>
          <w:rFonts w:hint="eastAsia" w:ascii="宋体" w:hAnsi="宋体"/>
          <w:sz w:val="24"/>
        </w:rPr>
      </w:pPr>
      <w:r>
        <w:rPr>
          <w:rFonts w:hint="eastAsia" w:ascii="宋体" w:hAnsi="宋体"/>
          <w:sz w:val="24"/>
        </w:rPr>
        <w:t>（1）</w:t>
      </w:r>
      <w:bookmarkStart w:id="3" w:name="OLE_LINK12"/>
      <w:r>
        <w:rPr>
          <w:rFonts w:hint="eastAsia" w:ascii="宋体" w:hAnsi="宋体"/>
          <w:sz w:val="24"/>
        </w:rPr>
        <w:t>两校区约有20栋建筑须完成规划核实测量，总面积约为30万平方米；根据规划核实测量相关规范及要求完成测量服务；提交纸质版及电子版测绘成果，</w:t>
      </w:r>
      <w:bookmarkEnd w:id="3"/>
      <w:r>
        <w:rPr>
          <w:rFonts w:hint="eastAsia" w:ascii="宋体" w:hAnsi="宋体"/>
          <w:sz w:val="24"/>
        </w:rPr>
        <w:t>要求成果达到相关登记部门对规划核实相关要求，协助取得该栋建筑规划核实意见书。</w:t>
      </w:r>
    </w:p>
    <w:p w14:paraId="5FD4791E">
      <w:pPr>
        <w:spacing w:line="360" w:lineRule="auto"/>
        <w:ind w:firstLine="480" w:firstLineChars="200"/>
        <w:rPr>
          <w:rFonts w:hint="eastAsia" w:ascii="宋体" w:hAnsi="宋体"/>
          <w:sz w:val="24"/>
        </w:rPr>
      </w:pPr>
      <w:r>
        <w:rPr>
          <w:rFonts w:hint="eastAsia" w:ascii="宋体" w:hAnsi="宋体"/>
          <w:sz w:val="24"/>
        </w:rPr>
        <w:t>（2）两校区约有20栋建筑须完成房屋面积测量，总面积约为30万平方米；根据不动产登记相关要求完成测量服务；提交纸质版及电子版测绘成果，要求成果达到相关登记部门对房屋面积测量相关要求，协助取得该栋建筑不动产权证书。协助取得该栋建筑的不动产登记证书。</w:t>
      </w:r>
    </w:p>
    <w:p w14:paraId="601F4245">
      <w:pPr>
        <w:spacing w:line="360" w:lineRule="auto"/>
        <w:ind w:firstLine="480" w:firstLineChars="200"/>
        <w:rPr>
          <w:rFonts w:hint="eastAsia" w:ascii="宋体" w:hAnsi="宋体"/>
          <w:sz w:val="24"/>
        </w:rPr>
      </w:pPr>
      <w:r>
        <w:rPr>
          <w:rFonts w:hint="eastAsia" w:ascii="宋体" w:hAnsi="宋体"/>
          <w:sz w:val="24"/>
        </w:rPr>
        <w:t>二、服务要求</w:t>
      </w:r>
    </w:p>
    <w:p w14:paraId="2A3E3D90">
      <w:pPr>
        <w:spacing w:line="360" w:lineRule="auto"/>
        <w:ind w:firstLine="480" w:firstLineChars="200"/>
        <w:rPr>
          <w:rFonts w:hint="eastAsia" w:ascii="宋体" w:hAnsi="宋体"/>
          <w:sz w:val="24"/>
        </w:rPr>
      </w:pPr>
      <w:r>
        <w:rPr>
          <w:rFonts w:hint="eastAsia" w:ascii="宋体" w:hAnsi="宋体"/>
          <w:sz w:val="24"/>
        </w:rPr>
        <w:t>1.</w:t>
      </w:r>
      <w:bookmarkStart w:id="4" w:name="OLE_LINK7"/>
      <w:r>
        <w:rPr>
          <w:rFonts w:hint="eastAsia" w:ascii="宋体" w:hAnsi="宋体"/>
          <w:sz w:val="24"/>
        </w:rPr>
        <w:t>乙方根据甲方要求开展测量，提交合格的测绘服务报告，协助甲方完成相关部门审批。</w:t>
      </w:r>
    </w:p>
    <w:p w14:paraId="30CC97C1">
      <w:pPr>
        <w:spacing w:line="360" w:lineRule="auto"/>
        <w:ind w:firstLine="480" w:firstLineChars="200"/>
        <w:rPr>
          <w:rFonts w:hint="eastAsia" w:ascii="宋体" w:hAnsi="宋体"/>
          <w:sz w:val="24"/>
        </w:rPr>
      </w:pPr>
      <w:r>
        <w:rPr>
          <w:rFonts w:hint="eastAsia" w:ascii="宋体" w:hAnsi="宋体"/>
          <w:sz w:val="24"/>
        </w:rPr>
        <w:t>2.提交电子版矢量数据、纸质测绘成果书一式五份，要求应达到相关部门的规范要求。</w:t>
      </w:r>
    </w:p>
    <w:bookmarkEnd w:id="4"/>
    <w:p w14:paraId="33E683CE">
      <w:pPr>
        <w:spacing w:line="360" w:lineRule="auto"/>
        <w:ind w:firstLine="480" w:firstLineChars="200"/>
        <w:rPr>
          <w:rFonts w:hint="eastAsia" w:ascii="宋体" w:hAnsi="宋体"/>
          <w:sz w:val="24"/>
        </w:rPr>
      </w:pPr>
      <w:r>
        <w:rPr>
          <w:rFonts w:hint="eastAsia" w:ascii="宋体" w:hAnsi="宋体"/>
          <w:sz w:val="24"/>
        </w:rPr>
        <w:t>3.适用规范、规程、标准：</w:t>
      </w:r>
    </w:p>
    <w:p w14:paraId="11C373F0">
      <w:pPr>
        <w:spacing w:line="360" w:lineRule="auto"/>
        <w:ind w:firstLine="482" w:firstLineChars="200"/>
        <w:rPr>
          <w:rFonts w:hint="eastAsia" w:ascii="宋体" w:hAnsi="宋体"/>
          <w:b/>
          <w:bCs/>
          <w:sz w:val="24"/>
        </w:rPr>
      </w:pPr>
      <w:r>
        <w:rPr>
          <w:rFonts w:hint="eastAsia" w:ascii="宋体" w:hAnsi="宋体"/>
          <w:b/>
          <w:bCs/>
          <w:sz w:val="24"/>
        </w:rPr>
        <w:t>规划核实及房屋面积测绘验收规范、规程、标准：</w:t>
      </w:r>
    </w:p>
    <w:p w14:paraId="12437018">
      <w:pPr>
        <w:spacing w:line="360" w:lineRule="auto"/>
        <w:ind w:firstLine="480" w:firstLineChars="200"/>
        <w:rPr>
          <w:rFonts w:hint="eastAsia" w:ascii="宋体" w:hAnsi="宋体"/>
          <w:sz w:val="24"/>
        </w:rPr>
      </w:pPr>
      <w:r>
        <w:rPr>
          <w:rFonts w:hint="eastAsia" w:ascii="宋体" w:hAnsi="宋体"/>
          <w:sz w:val="24"/>
        </w:rPr>
        <w:t>（1）工程测量规范（GB50026-2020）；</w:t>
      </w:r>
    </w:p>
    <w:p w14:paraId="402FFB25">
      <w:pPr>
        <w:spacing w:line="360" w:lineRule="auto"/>
        <w:ind w:firstLine="480" w:firstLineChars="200"/>
        <w:rPr>
          <w:rFonts w:hint="eastAsia" w:ascii="宋体" w:hAnsi="宋体"/>
          <w:sz w:val="24"/>
        </w:rPr>
      </w:pPr>
      <w:r>
        <w:rPr>
          <w:rFonts w:hint="eastAsia" w:ascii="宋体" w:hAnsi="宋体"/>
          <w:sz w:val="24"/>
        </w:rPr>
        <w:t>（2）《城市居住区规划设计标准》（GB 50180-2018）；</w:t>
      </w:r>
    </w:p>
    <w:p w14:paraId="0BC29DA6">
      <w:pPr>
        <w:spacing w:line="360" w:lineRule="auto"/>
        <w:ind w:firstLine="480" w:firstLineChars="200"/>
        <w:rPr>
          <w:rFonts w:hint="eastAsia" w:ascii="宋体" w:hAnsi="宋体"/>
          <w:sz w:val="24"/>
        </w:rPr>
      </w:pPr>
      <w:r>
        <w:rPr>
          <w:rFonts w:hint="eastAsia" w:ascii="宋体" w:hAnsi="宋体"/>
          <w:sz w:val="24"/>
        </w:rPr>
        <w:t>（3）《住宅建筑规范》（GB 50386-2005）；</w:t>
      </w:r>
    </w:p>
    <w:p w14:paraId="4426AFAA">
      <w:pPr>
        <w:spacing w:line="360" w:lineRule="auto"/>
        <w:ind w:firstLine="480" w:firstLineChars="200"/>
        <w:rPr>
          <w:rFonts w:hint="eastAsia" w:ascii="宋体" w:hAnsi="宋体"/>
          <w:sz w:val="24"/>
        </w:rPr>
      </w:pPr>
      <w:r>
        <w:rPr>
          <w:rFonts w:hint="eastAsia" w:ascii="宋体" w:hAnsi="宋体"/>
          <w:sz w:val="24"/>
        </w:rPr>
        <w:t>（4）《建筑工程建筑面积计算规范》（GB/T50353-2013）；</w:t>
      </w:r>
    </w:p>
    <w:p w14:paraId="1B2DD5BE">
      <w:pPr>
        <w:spacing w:line="360" w:lineRule="auto"/>
        <w:ind w:firstLine="480" w:firstLineChars="200"/>
        <w:rPr>
          <w:rFonts w:hint="eastAsia" w:ascii="宋体" w:hAnsi="宋体"/>
          <w:sz w:val="24"/>
        </w:rPr>
      </w:pPr>
      <w:r>
        <w:rPr>
          <w:rFonts w:hint="eastAsia" w:ascii="宋体" w:hAnsi="宋体"/>
          <w:sz w:val="24"/>
        </w:rPr>
        <w:t>（5）《城市测量规范》（CJJ/T8—2011）；</w:t>
      </w:r>
    </w:p>
    <w:p w14:paraId="486D8A5A">
      <w:pPr>
        <w:spacing w:line="360" w:lineRule="auto"/>
        <w:ind w:firstLine="480" w:firstLineChars="200"/>
        <w:rPr>
          <w:rFonts w:hint="eastAsia" w:ascii="宋体" w:hAnsi="宋体"/>
          <w:sz w:val="24"/>
        </w:rPr>
      </w:pPr>
      <w:r>
        <w:rPr>
          <w:rFonts w:hint="eastAsia" w:ascii="宋体" w:hAnsi="宋体"/>
          <w:sz w:val="24"/>
        </w:rPr>
        <w:t>（6）《陕西省城市规划管理技术规定》（陕建发[2017]473号）等国家标准与行业规范。</w:t>
      </w:r>
    </w:p>
    <w:p w14:paraId="529ABE8B">
      <w:pPr>
        <w:spacing w:line="360" w:lineRule="auto"/>
        <w:ind w:firstLine="480" w:firstLineChars="200"/>
        <w:rPr>
          <w:rFonts w:hint="eastAsia" w:ascii="宋体" w:hAnsi="宋体"/>
          <w:sz w:val="24"/>
        </w:rPr>
      </w:pPr>
      <w:r>
        <w:rPr>
          <w:rFonts w:hint="eastAsia" w:ascii="宋体" w:hAnsi="宋体"/>
          <w:sz w:val="24"/>
        </w:rPr>
        <w:t xml:space="preserve">（7）《渭南市建设工程（建筑类）竣工规划核实测量技术规定》 </w:t>
      </w:r>
    </w:p>
    <w:p w14:paraId="6CD7D695">
      <w:pPr>
        <w:spacing w:line="360" w:lineRule="auto"/>
        <w:ind w:firstLine="480" w:firstLineChars="200"/>
        <w:rPr>
          <w:rFonts w:hint="eastAsia" w:ascii="宋体" w:hAnsi="宋体"/>
          <w:b/>
          <w:bCs/>
          <w:sz w:val="24"/>
        </w:rPr>
      </w:pPr>
      <w:r>
        <w:rPr>
          <w:rFonts w:hint="eastAsia" w:ascii="宋体" w:hAnsi="宋体"/>
          <w:sz w:val="24"/>
        </w:rPr>
        <w:t>（8）提交电子及纸质成果，要求成果达到相关登记部门规划核实相关规范要求。</w:t>
      </w:r>
      <w:r>
        <w:rPr>
          <w:rFonts w:hint="eastAsia" w:ascii="宋体" w:hAnsi="宋体"/>
          <w:b/>
          <w:bCs/>
          <w:sz w:val="24"/>
        </w:rPr>
        <w:t>房屋面积测量测绘验收规范、规程、标准</w:t>
      </w:r>
    </w:p>
    <w:p w14:paraId="2F4FFEB4">
      <w:pPr>
        <w:spacing w:line="360" w:lineRule="auto"/>
        <w:ind w:firstLine="480" w:firstLineChars="200"/>
        <w:rPr>
          <w:rFonts w:hint="eastAsia" w:ascii="宋体" w:hAnsi="宋体"/>
          <w:sz w:val="24"/>
        </w:rPr>
      </w:pPr>
      <w:r>
        <w:rPr>
          <w:rFonts w:hint="eastAsia" w:ascii="宋体" w:hAnsi="宋体"/>
          <w:sz w:val="24"/>
        </w:rPr>
        <w:t>（1）中华人民共和国国家GB/T17986-2000《房产测量规范》；</w:t>
      </w:r>
    </w:p>
    <w:p w14:paraId="2AEAFA83">
      <w:pPr>
        <w:spacing w:line="360" w:lineRule="auto"/>
        <w:ind w:firstLine="480" w:firstLineChars="200"/>
        <w:rPr>
          <w:rFonts w:hint="eastAsia" w:ascii="宋体" w:hAnsi="宋体"/>
          <w:sz w:val="24"/>
        </w:rPr>
      </w:pPr>
      <w:r>
        <w:rPr>
          <w:rFonts w:hint="eastAsia" w:ascii="宋体" w:hAnsi="宋体"/>
          <w:sz w:val="24"/>
        </w:rPr>
        <w:t>（2）国家基本比例尺地图图式 第1部分：1:500 1:1000 1:2000地形图图式（GB/T20257.1-2017）；</w:t>
      </w:r>
    </w:p>
    <w:p w14:paraId="13993322">
      <w:pPr>
        <w:spacing w:line="360" w:lineRule="auto"/>
        <w:ind w:firstLine="480" w:firstLineChars="200"/>
        <w:rPr>
          <w:rFonts w:hint="eastAsia" w:ascii="宋体" w:hAnsi="宋体"/>
          <w:sz w:val="24"/>
        </w:rPr>
      </w:pPr>
      <w:r>
        <w:rPr>
          <w:rFonts w:hint="eastAsia" w:ascii="宋体" w:hAnsi="宋体"/>
          <w:sz w:val="24"/>
        </w:rPr>
        <w:t xml:space="preserve">（3）建设部建住房（2002）74号《关于房屋建筑面积计算与房屋权属登记有关问题的通知》； </w:t>
      </w:r>
    </w:p>
    <w:p w14:paraId="774B5406">
      <w:pPr>
        <w:spacing w:line="360" w:lineRule="auto"/>
        <w:ind w:firstLine="480" w:firstLineChars="200"/>
        <w:rPr>
          <w:rFonts w:hint="eastAsia" w:ascii="宋体" w:hAnsi="宋体"/>
          <w:sz w:val="24"/>
        </w:rPr>
      </w:pPr>
      <w:r>
        <w:rPr>
          <w:rFonts w:hint="eastAsia" w:ascii="宋体" w:hAnsi="宋体"/>
          <w:sz w:val="24"/>
        </w:rPr>
        <w:t>（4）测绘成果质量检查与验收（GB/T24356-2023）等国家标准与行业规范。</w:t>
      </w:r>
    </w:p>
    <w:p w14:paraId="5583102B">
      <w:pPr>
        <w:spacing w:line="360" w:lineRule="auto"/>
        <w:ind w:firstLine="480" w:firstLineChars="200"/>
        <w:rPr>
          <w:rFonts w:hint="eastAsia" w:ascii="宋体" w:hAnsi="宋体"/>
          <w:sz w:val="24"/>
        </w:rPr>
      </w:pPr>
      <w:r>
        <w:rPr>
          <w:rFonts w:hint="eastAsia" w:ascii="宋体" w:hAnsi="宋体"/>
          <w:sz w:val="24"/>
        </w:rPr>
        <w:t>（5）提交电子及纸质成果，要求成果达到不动产登记相关规范要求，并协助完成该建筑的不动产登记。</w:t>
      </w:r>
    </w:p>
    <w:p w14:paraId="38AD2233">
      <w:pPr>
        <w:spacing w:line="360" w:lineRule="auto"/>
        <w:ind w:firstLine="480" w:firstLineChars="200"/>
        <w:rPr>
          <w:rFonts w:hint="eastAsia" w:ascii="宋体" w:hAnsi="宋体"/>
          <w:sz w:val="24"/>
        </w:rPr>
      </w:pPr>
      <w:r>
        <w:rPr>
          <w:rFonts w:hint="eastAsia" w:ascii="宋体" w:hAnsi="宋体"/>
          <w:sz w:val="24"/>
        </w:rPr>
        <w:t>三、合同价款及付款方式</w:t>
      </w:r>
    </w:p>
    <w:p w14:paraId="08528A5D">
      <w:pPr>
        <w:spacing w:line="360" w:lineRule="auto"/>
        <w:ind w:firstLine="480" w:firstLineChars="200"/>
        <w:rPr>
          <w:rFonts w:hint="eastAsia" w:ascii="宋体" w:hAnsi="宋体"/>
          <w:sz w:val="24"/>
        </w:rPr>
      </w:pPr>
      <w:r>
        <w:rPr>
          <w:rFonts w:hint="eastAsia" w:ascii="宋体" w:hAnsi="宋体"/>
          <w:sz w:val="24"/>
        </w:rPr>
        <w:t>1．规划核实测量每平方米</w:t>
      </w:r>
      <w:r>
        <w:rPr>
          <w:rFonts w:hint="eastAsia" w:ascii="宋体" w:hAnsi="宋体"/>
          <w:sz w:val="24"/>
          <w:u w:val="single"/>
        </w:rPr>
        <w:t xml:space="preserve">      </w:t>
      </w:r>
      <w:r>
        <w:rPr>
          <w:rFonts w:hint="eastAsia" w:ascii="宋体" w:hAnsi="宋体"/>
          <w:sz w:val="24"/>
        </w:rPr>
        <w:t>元（人民币</w:t>
      </w:r>
      <w:r>
        <w:rPr>
          <w:rFonts w:hint="eastAsia" w:ascii="宋体" w:hAnsi="宋体"/>
          <w:sz w:val="24"/>
          <w:u w:val="single"/>
        </w:rPr>
        <w:t xml:space="preserve">   元</w:t>
      </w:r>
      <w:r>
        <w:rPr>
          <w:rFonts w:hint="eastAsia" w:ascii="宋体" w:hAnsi="宋体"/>
          <w:sz w:val="24"/>
        </w:rPr>
        <w:t>每平方米），根据规划核实面积乘以单价确定规划核实测量价款。</w:t>
      </w:r>
    </w:p>
    <w:p w14:paraId="56057441">
      <w:pPr>
        <w:spacing w:line="360" w:lineRule="auto"/>
        <w:ind w:firstLine="480" w:firstLineChars="200"/>
        <w:rPr>
          <w:rFonts w:hint="eastAsia" w:ascii="宋体" w:hAnsi="宋体"/>
          <w:sz w:val="24"/>
        </w:rPr>
      </w:pPr>
      <w:r>
        <w:rPr>
          <w:rFonts w:hint="eastAsia" w:ascii="宋体" w:hAnsi="宋体"/>
          <w:sz w:val="24"/>
        </w:rPr>
        <w:t>房屋面积测量每平方米</w:t>
      </w:r>
      <w:r>
        <w:rPr>
          <w:rFonts w:hint="eastAsia" w:ascii="宋体" w:hAnsi="宋体"/>
          <w:sz w:val="24"/>
          <w:u w:val="single"/>
        </w:rPr>
        <w:t xml:space="preserve">      </w:t>
      </w:r>
      <w:r>
        <w:rPr>
          <w:rFonts w:hint="eastAsia" w:ascii="宋体" w:hAnsi="宋体"/>
          <w:sz w:val="24"/>
        </w:rPr>
        <w:t>元（人民币</w:t>
      </w:r>
      <w:r>
        <w:rPr>
          <w:rFonts w:hint="eastAsia" w:ascii="宋体" w:hAnsi="宋体"/>
          <w:sz w:val="24"/>
          <w:u w:val="single"/>
        </w:rPr>
        <w:t xml:space="preserve">   元</w:t>
      </w:r>
      <w:r>
        <w:rPr>
          <w:rFonts w:hint="eastAsia" w:ascii="宋体" w:hAnsi="宋体"/>
          <w:sz w:val="24"/>
        </w:rPr>
        <w:t>每平方米），根据房屋面积测量乘以单价确定房屋面积测量价款。</w:t>
      </w:r>
    </w:p>
    <w:p w14:paraId="6505D55E">
      <w:pPr>
        <w:spacing w:line="360" w:lineRule="auto"/>
        <w:ind w:firstLine="480" w:firstLineChars="200"/>
        <w:rPr>
          <w:rFonts w:hint="eastAsia" w:ascii="宋体" w:hAnsi="宋体"/>
          <w:sz w:val="24"/>
        </w:rPr>
      </w:pPr>
      <w:r>
        <w:rPr>
          <w:rFonts w:hint="eastAsia" w:ascii="宋体" w:hAnsi="宋体"/>
          <w:sz w:val="24"/>
        </w:rPr>
        <w:t>最终两项价款相加为合同总价款。</w:t>
      </w:r>
    </w:p>
    <w:p w14:paraId="34F225F0">
      <w:pPr>
        <w:spacing w:line="360" w:lineRule="auto"/>
        <w:ind w:firstLine="480" w:firstLineChars="200"/>
        <w:rPr>
          <w:rFonts w:hint="eastAsia" w:ascii="宋体" w:hAnsi="宋体"/>
          <w:sz w:val="24"/>
        </w:rPr>
      </w:pPr>
      <w:r>
        <w:rPr>
          <w:rFonts w:hint="eastAsia" w:ascii="宋体" w:hAnsi="宋体"/>
          <w:sz w:val="24"/>
        </w:rPr>
        <w:t>2．本项目无预付款。根据甲方要求，完成指定测量工作后，提交报告，通过相关部门审核后方视为验收通过、达到付款条件。根据单价乘以实际测量数量计算付款金额，支付当次测量费用。付款前，乙方向甲方提供付款金额相对应的正式发票。</w:t>
      </w:r>
    </w:p>
    <w:p w14:paraId="13E72C1F">
      <w:pPr>
        <w:spacing w:line="360" w:lineRule="auto"/>
        <w:ind w:firstLine="480" w:firstLineChars="200"/>
        <w:rPr>
          <w:rFonts w:hint="eastAsia" w:ascii="宋体" w:hAnsi="宋体"/>
          <w:sz w:val="24"/>
        </w:rPr>
      </w:pPr>
      <w:r>
        <w:rPr>
          <w:rFonts w:hint="eastAsia" w:ascii="宋体" w:hAnsi="宋体"/>
          <w:sz w:val="24"/>
        </w:rPr>
        <w:t>3.服务期限：本项目服务期限至2026年12月31日；服务过程中接采购方通知后，15个日历日内完成相关测量并提交报告。</w:t>
      </w:r>
    </w:p>
    <w:p w14:paraId="014A490E">
      <w:pPr>
        <w:spacing w:line="360" w:lineRule="auto"/>
        <w:ind w:firstLine="480" w:firstLineChars="200"/>
        <w:rPr>
          <w:rFonts w:hint="eastAsia" w:ascii="宋体" w:hAnsi="宋体"/>
          <w:sz w:val="24"/>
        </w:rPr>
      </w:pPr>
      <w:r>
        <w:rPr>
          <w:rFonts w:hint="eastAsia" w:ascii="宋体" w:hAnsi="宋体"/>
          <w:sz w:val="24"/>
        </w:rPr>
        <w:t>四、甲方权力义务</w:t>
      </w:r>
    </w:p>
    <w:p w14:paraId="19E15D54">
      <w:pPr>
        <w:spacing w:line="360" w:lineRule="auto"/>
        <w:ind w:firstLine="480" w:firstLineChars="200"/>
        <w:rPr>
          <w:rFonts w:hint="eastAsia" w:ascii="宋体" w:hAnsi="宋体"/>
          <w:sz w:val="24"/>
        </w:rPr>
      </w:pPr>
      <w:r>
        <w:rPr>
          <w:rFonts w:hint="eastAsia" w:ascii="宋体" w:hAnsi="宋体"/>
          <w:sz w:val="24"/>
        </w:rPr>
        <w:t>1.甲方有权监督检查测绘报告编制的进度、深度。</w:t>
      </w:r>
    </w:p>
    <w:p w14:paraId="75C61EAE">
      <w:pPr>
        <w:spacing w:line="360" w:lineRule="auto"/>
        <w:ind w:firstLine="480" w:firstLineChars="200"/>
        <w:rPr>
          <w:rFonts w:hint="eastAsia" w:ascii="宋体" w:hAnsi="宋体"/>
          <w:sz w:val="24"/>
        </w:rPr>
      </w:pPr>
      <w:r>
        <w:rPr>
          <w:rFonts w:hint="eastAsia" w:ascii="宋体" w:hAnsi="宋体"/>
          <w:sz w:val="24"/>
        </w:rPr>
        <w:t>2.甲方应按照合同约定时间和条件支付乙方合同款。</w:t>
      </w:r>
    </w:p>
    <w:p w14:paraId="4C93E346">
      <w:pPr>
        <w:spacing w:line="360" w:lineRule="auto"/>
        <w:ind w:firstLine="480" w:firstLineChars="200"/>
        <w:rPr>
          <w:rFonts w:hint="eastAsia" w:ascii="宋体" w:hAnsi="宋体"/>
          <w:sz w:val="24"/>
        </w:rPr>
      </w:pPr>
      <w:r>
        <w:rPr>
          <w:rFonts w:hint="eastAsia" w:ascii="宋体" w:hAnsi="宋体"/>
          <w:sz w:val="24"/>
        </w:rPr>
        <w:t>3.本合同履行期间，甲方有权单方面解除合同，但需提前3天书面通知乙方。合同解除后，甲方根据合同约定标准据实结算乙方已完成工作量的费用，除此之外，甲方无需向乙方支付任何费用及承担任何责任。</w:t>
      </w:r>
    </w:p>
    <w:p w14:paraId="6082BF6E">
      <w:pPr>
        <w:spacing w:line="360" w:lineRule="auto"/>
        <w:ind w:firstLine="480" w:firstLineChars="200"/>
        <w:rPr>
          <w:rFonts w:hint="eastAsia" w:ascii="宋体" w:hAnsi="宋体"/>
          <w:sz w:val="24"/>
        </w:rPr>
      </w:pPr>
      <w:r>
        <w:rPr>
          <w:rFonts w:hint="eastAsia" w:ascii="宋体" w:hAnsi="宋体"/>
          <w:sz w:val="24"/>
        </w:rPr>
        <w:t>4.甲方应与乙方保持正常的业务交往，按照有关法律法规和程序开展业务工作。</w:t>
      </w:r>
    </w:p>
    <w:p w14:paraId="12F6D859">
      <w:pPr>
        <w:spacing w:line="360" w:lineRule="auto"/>
        <w:ind w:firstLine="480" w:firstLineChars="200"/>
        <w:rPr>
          <w:rFonts w:hint="eastAsia" w:ascii="宋体" w:hAnsi="宋体"/>
          <w:sz w:val="24"/>
        </w:rPr>
      </w:pPr>
      <w:r>
        <w:rPr>
          <w:rFonts w:hint="eastAsia" w:ascii="宋体" w:hAnsi="宋体"/>
          <w:sz w:val="24"/>
        </w:rPr>
        <w:t>五、乙方权力义务</w:t>
      </w:r>
    </w:p>
    <w:p w14:paraId="22D68BB3">
      <w:pPr>
        <w:spacing w:line="360" w:lineRule="auto"/>
        <w:ind w:firstLine="480" w:firstLineChars="200"/>
        <w:rPr>
          <w:rFonts w:hint="eastAsia" w:ascii="宋体" w:hAnsi="宋体"/>
          <w:sz w:val="24"/>
        </w:rPr>
      </w:pPr>
      <w:r>
        <w:rPr>
          <w:rFonts w:hint="eastAsia" w:ascii="宋体" w:hAnsi="宋体"/>
          <w:sz w:val="24"/>
        </w:rPr>
        <w:t>1.接到甲方通知后，在30个日历日内完成相应建筑的测绘服务，提交测绘报告。</w:t>
      </w:r>
    </w:p>
    <w:p w14:paraId="1BBA22CD">
      <w:pPr>
        <w:spacing w:line="360" w:lineRule="auto"/>
        <w:ind w:firstLine="480" w:firstLineChars="200"/>
        <w:rPr>
          <w:rFonts w:hint="eastAsia" w:ascii="宋体" w:hAnsi="宋体"/>
          <w:sz w:val="24"/>
        </w:rPr>
      </w:pPr>
      <w:r>
        <w:rPr>
          <w:rFonts w:hint="eastAsia" w:ascii="宋体" w:hAnsi="宋体"/>
          <w:sz w:val="24"/>
        </w:rPr>
        <w:t>2.</w:t>
      </w:r>
      <w:bookmarkStart w:id="5" w:name="_Hlk227141462"/>
      <w:r>
        <w:rPr>
          <w:rFonts w:hint="eastAsia" w:ascii="宋体" w:hAnsi="宋体"/>
          <w:sz w:val="24"/>
        </w:rPr>
        <w:t>乙方应确保相关测绘报告通过学校属地行政主管部门审查。如未通过的，乙方有责任进行修改或补充，其费用由乙方全部承担，工期不予顺延。经过乙方3次修改后，仍未达到本合同约定要求和行政主管部门要求的，甲方有权立即单方面解除合同，且不支付任何费用，乙方应按照两倍合同总额赔偿甲方，同时甲方保留因解除合同给甲方带来损失向乙方进一步索赔的权利。</w:t>
      </w:r>
    </w:p>
    <w:p w14:paraId="4ED5E4F8">
      <w:pPr>
        <w:spacing w:line="360" w:lineRule="auto"/>
        <w:ind w:firstLine="480" w:firstLineChars="200"/>
        <w:rPr>
          <w:rFonts w:hint="eastAsia" w:ascii="宋体" w:hAnsi="宋体"/>
          <w:sz w:val="24"/>
        </w:rPr>
      </w:pPr>
      <w:r>
        <w:rPr>
          <w:rFonts w:hint="eastAsia" w:ascii="宋体" w:hAnsi="宋体"/>
          <w:sz w:val="24"/>
        </w:rPr>
        <w:t>3.因乙方原因，超过本合同约定期限的，每逾期一天，乙方按当次测量费用的1%，从测量费用中累计扣减。累计逾期超过15个日历日的，甲方有权单方面解除合同，乙方应按照两倍当次测量费用赔偿甲方。甲方保留因耽误项目工期给甲方带来损失向乙方进一步索赔的权利。</w:t>
      </w:r>
    </w:p>
    <w:bookmarkEnd w:id="5"/>
    <w:p w14:paraId="7EBDD768">
      <w:pPr>
        <w:spacing w:line="360" w:lineRule="auto"/>
        <w:ind w:firstLine="480" w:firstLineChars="200"/>
        <w:rPr>
          <w:rFonts w:hint="eastAsia" w:ascii="宋体" w:hAnsi="宋体"/>
          <w:sz w:val="24"/>
        </w:rPr>
      </w:pPr>
      <w:r>
        <w:rPr>
          <w:rFonts w:hint="eastAsia" w:ascii="宋体" w:hAnsi="宋体"/>
          <w:sz w:val="24"/>
        </w:rPr>
        <w:t>4.乙方应派投标文件承诺的项目团队人员，到校完成两校区建筑规划核实及房屋面积测绘服务项目各项事务。</w:t>
      </w:r>
    </w:p>
    <w:p w14:paraId="53FD9E67">
      <w:pPr>
        <w:spacing w:line="360" w:lineRule="auto"/>
        <w:ind w:firstLine="480" w:firstLineChars="200"/>
        <w:rPr>
          <w:rFonts w:hint="eastAsia" w:ascii="宋体" w:hAnsi="宋体"/>
          <w:sz w:val="24"/>
        </w:rPr>
      </w:pPr>
      <w:r>
        <w:rPr>
          <w:rFonts w:hint="eastAsia" w:ascii="宋体" w:hAnsi="宋体"/>
          <w:sz w:val="24"/>
        </w:rPr>
        <w:t>5.</w:t>
      </w:r>
      <w:bookmarkStart w:id="6" w:name="OLE_LINK20"/>
      <w:r>
        <w:rPr>
          <w:rFonts w:hint="eastAsia" w:ascii="宋体" w:hAnsi="宋体"/>
          <w:sz w:val="24"/>
        </w:rPr>
        <w:t>乙方承担两校区建筑规划核实及房屋面积测绘服务项目工作中为取得行政主管部门书面批复所产生的一切费用（包含但不限于报告编制打印费、会议费、专家咨询费、评审费等）。</w:t>
      </w:r>
      <w:bookmarkEnd w:id="6"/>
    </w:p>
    <w:p w14:paraId="43B2A55E">
      <w:pPr>
        <w:spacing w:line="360" w:lineRule="auto"/>
        <w:ind w:firstLine="480" w:firstLineChars="200"/>
        <w:rPr>
          <w:rFonts w:hint="eastAsia" w:ascii="宋体" w:hAnsi="宋体"/>
          <w:sz w:val="24"/>
        </w:rPr>
      </w:pPr>
      <w:r>
        <w:rPr>
          <w:rFonts w:hint="eastAsia" w:ascii="宋体" w:hAnsi="宋体"/>
          <w:sz w:val="24"/>
        </w:rPr>
        <w:t>6.乙方人员在进入甲方现场工作期间，应遵守甲方安全保卫、消防及其它有关的规章制度。乙方工作人员在工作期间的一切安全责任由乙方全部承担。</w:t>
      </w:r>
    </w:p>
    <w:p w14:paraId="377ED9B8">
      <w:pPr>
        <w:spacing w:line="360" w:lineRule="auto"/>
        <w:ind w:firstLine="480" w:firstLineChars="200"/>
        <w:rPr>
          <w:rFonts w:hint="eastAsia" w:ascii="宋体" w:hAnsi="宋体"/>
          <w:sz w:val="24"/>
        </w:rPr>
      </w:pPr>
      <w:r>
        <w:rPr>
          <w:rFonts w:hint="eastAsia" w:ascii="宋体" w:hAnsi="宋体"/>
          <w:sz w:val="24"/>
        </w:rPr>
        <w:t>7.乙方应对在与甲方合作过程中所获得或知悉的甲方信息或资料负有保密的义务。未经甲方书面同意不得向任何第三方披露。</w:t>
      </w:r>
    </w:p>
    <w:p w14:paraId="18734821">
      <w:pPr>
        <w:spacing w:line="360" w:lineRule="auto"/>
        <w:ind w:firstLine="480" w:firstLineChars="200"/>
        <w:rPr>
          <w:rFonts w:hint="eastAsia" w:ascii="宋体" w:hAnsi="宋体"/>
          <w:sz w:val="24"/>
        </w:rPr>
      </w:pPr>
      <w:r>
        <w:rPr>
          <w:rFonts w:hint="eastAsia" w:ascii="宋体" w:hAnsi="宋体"/>
          <w:sz w:val="24"/>
        </w:rPr>
        <w:t>8.根据国家有关工程建设的法律法规和廉政建设的有关规定，应与甲方保持正常的业务交往，按照有关法律法规和程序开展业务工作，严格执行工程建设的有关方针、政策，执行工程建设强制性标准，不得以任何理由向甲方及其工作人员索要、接受或赠送礼金、有价证券、贵重物品及回扣、好处费、感谢费等。</w:t>
      </w:r>
    </w:p>
    <w:p w14:paraId="19A2DD20">
      <w:pPr>
        <w:spacing w:line="360" w:lineRule="auto"/>
        <w:ind w:firstLine="480" w:firstLineChars="200"/>
        <w:rPr>
          <w:rFonts w:hint="eastAsia" w:ascii="宋体" w:hAnsi="宋体"/>
          <w:sz w:val="24"/>
        </w:rPr>
      </w:pPr>
      <w:r>
        <w:rPr>
          <w:rFonts w:hint="eastAsia" w:ascii="宋体" w:hAnsi="宋体"/>
          <w:sz w:val="24"/>
        </w:rPr>
        <w:t>9.乙方在本项目合同存续期间，不得进行债权转让。</w:t>
      </w:r>
    </w:p>
    <w:p w14:paraId="1809E4E0">
      <w:pPr>
        <w:spacing w:line="360" w:lineRule="auto"/>
        <w:ind w:firstLine="480" w:firstLineChars="200"/>
        <w:rPr>
          <w:rFonts w:hint="eastAsia" w:ascii="宋体" w:hAnsi="宋体"/>
          <w:sz w:val="24"/>
        </w:rPr>
      </w:pPr>
      <w:r>
        <w:rPr>
          <w:rFonts w:hint="eastAsia" w:ascii="宋体" w:hAnsi="宋体"/>
          <w:sz w:val="24"/>
        </w:rPr>
        <w:t>六、合同争端解决及违约责任</w:t>
      </w:r>
    </w:p>
    <w:p w14:paraId="4E9E2D75">
      <w:pPr>
        <w:spacing w:line="360" w:lineRule="auto"/>
        <w:ind w:firstLine="480" w:firstLineChars="200"/>
        <w:rPr>
          <w:rFonts w:hint="eastAsia" w:ascii="宋体" w:hAnsi="宋体"/>
          <w:sz w:val="24"/>
        </w:rPr>
      </w:pPr>
      <w:r>
        <w:rPr>
          <w:rFonts w:hint="eastAsia" w:ascii="宋体" w:hAnsi="宋体"/>
          <w:sz w:val="24"/>
        </w:rPr>
        <w:t>1.本合同在履行期间，双方发生争议时，双方可采取协商解决，协商不成时，可向项目所在地人民法院起诉。</w:t>
      </w:r>
    </w:p>
    <w:p w14:paraId="7CA6A05B">
      <w:pPr>
        <w:spacing w:line="360" w:lineRule="auto"/>
        <w:ind w:firstLine="480" w:firstLineChars="200"/>
        <w:rPr>
          <w:rFonts w:hint="eastAsia" w:ascii="宋体" w:hAnsi="宋体"/>
          <w:sz w:val="24"/>
        </w:rPr>
      </w:pPr>
      <w:r>
        <w:rPr>
          <w:rFonts w:hint="eastAsia" w:ascii="宋体" w:hAnsi="宋体"/>
          <w:sz w:val="24"/>
        </w:rPr>
        <w:t>2.违约责任：依据《中华人民共和国民法典》、《中华人民共和国政府采购法》的相关条款和本合同约定，成交供应商未全面履行合同义务或者发生违约，采购人会同采购代理机构有权终止合同，依法向成交供应商进行经济索赔，并报请采购监督管理机关进行相应的行政处罚。</w:t>
      </w:r>
    </w:p>
    <w:p w14:paraId="17450E1A">
      <w:pPr>
        <w:spacing w:line="360" w:lineRule="auto"/>
        <w:ind w:firstLine="480" w:firstLineChars="200"/>
        <w:rPr>
          <w:rFonts w:hint="eastAsia" w:ascii="宋体" w:hAnsi="宋体"/>
          <w:sz w:val="24"/>
        </w:rPr>
      </w:pPr>
      <w:r>
        <w:rPr>
          <w:rFonts w:hint="eastAsia" w:ascii="宋体" w:hAnsi="宋体"/>
          <w:sz w:val="24"/>
        </w:rPr>
        <w:t>七、本合同一式肆份，甲方、乙方、采购代理机构各执壹份，政府采购管理部门备案壹份。签字盖章后生效，合同执行完毕自动失效（合同的服务承诺则长期有效）。</w:t>
      </w:r>
    </w:p>
    <w:p w14:paraId="436AC47A">
      <w:pPr>
        <w:spacing w:line="360" w:lineRule="auto"/>
        <w:ind w:firstLine="480" w:firstLineChars="200"/>
        <w:rPr>
          <w:rFonts w:hint="eastAsia" w:ascii="宋体" w:hAnsi="宋体"/>
          <w:sz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40"/>
        <w:gridCol w:w="4441"/>
      </w:tblGrid>
      <w:tr w14:paraId="7F32A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7ACF4A89">
            <w:pPr>
              <w:spacing w:line="360" w:lineRule="auto"/>
              <w:jc w:val="left"/>
              <w:rPr>
                <w:rFonts w:hint="eastAsia" w:ascii="宋体" w:hAnsi="宋体"/>
                <w:sz w:val="24"/>
              </w:rPr>
            </w:pPr>
            <w:r>
              <w:rPr>
                <w:rFonts w:hint="eastAsia" w:ascii="宋体" w:hAnsi="宋体"/>
                <w:sz w:val="24"/>
              </w:rPr>
              <w:t>甲  方：陕西铁路工程职业技术学院</w:t>
            </w:r>
          </w:p>
        </w:tc>
        <w:tc>
          <w:tcPr>
            <w:tcW w:w="4441" w:type="dxa"/>
            <w:tcBorders>
              <w:top w:val="single" w:color="auto" w:sz="4" w:space="0"/>
              <w:left w:val="single" w:color="auto" w:sz="4" w:space="0"/>
              <w:bottom w:val="single" w:color="auto" w:sz="4" w:space="0"/>
              <w:right w:val="single" w:color="auto" w:sz="4" w:space="0"/>
            </w:tcBorders>
            <w:vAlign w:val="center"/>
          </w:tcPr>
          <w:p w14:paraId="13172695">
            <w:pPr>
              <w:spacing w:line="360" w:lineRule="auto"/>
              <w:jc w:val="left"/>
              <w:rPr>
                <w:rFonts w:hint="eastAsia" w:ascii="宋体" w:hAnsi="宋体"/>
                <w:sz w:val="24"/>
              </w:rPr>
            </w:pPr>
            <w:r>
              <w:rPr>
                <w:rFonts w:hint="eastAsia" w:ascii="宋体" w:hAnsi="宋体"/>
                <w:sz w:val="24"/>
              </w:rPr>
              <w:t>乙  方</w:t>
            </w:r>
          </w:p>
        </w:tc>
      </w:tr>
      <w:tr w14:paraId="7005B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9"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6EB400BD">
            <w:pPr>
              <w:spacing w:line="360" w:lineRule="auto"/>
              <w:jc w:val="left"/>
              <w:rPr>
                <w:rFonts w:hint="eastAsia" w:ascii="宋体" w:hAnsi="宋体"/>
                <w:sz w:val="24"/>
              </w:rPr>
            </w:pPr>
            <w:r>
              <w:rPr>
                <w:rFonts w:hint="eastAsia" w:ascii="宋体" w:hAnsi="宋体"/>
                <w:sz w:val="24"/>
              </w:rPr>
              <w:t>（盖章）</w:t>
            </w:r>
          </w:p>
        </w:tc>
        <w:tc>
          <w:tcPr>
            <w:tcW w:w="4441" w:type="dxa"/>
            <w:tcBorders>
              <w:top w:val="single" w:color="auto" w:sz="4" w:space="0"/>
              <w:left w:val="single" w:color="auto" w:sz="4" w:space="0"/>
              <w:bottom w:val="single" w:color="auto" w:sz="4" w:space="0"/>
              <w:right w:val="single" w:color="auto" w:sz="4" w:space="0"/>
            </w:tcBorders>
            <w:vAlign w:val="center"/>
          </w:tcPr>
          <w:p w14:paraId="0F61E0E9">
            <w:pPr>
              <w:spacing w:line="360" w:lineRule="auto"/>
              <w:jc w:val="left"/>
              <w:rPr>
                <w:rFonts w:hint="eastAsia" w:ascii="宋体" w:hAnsi="宋体"/>
                <w:sz w:val="24"/>
              </w:rPr>
            </w:pPr>
            <w:r>
              <w:rPr>
                <w:rFonts w:hint="eastAsia" w:ascii="宋体" w:hAnsi="宋体"/>
                <w:sz w:val="24"/>
              </w:rPr>
              <w:t>成交供应商全称</w:t>
            </w:r>
          </w:p>
          <w:p w14:paraId="6C67FFAF">
            <w:pPr>
              <w:spacing w:line="360" w:lineRule="auto"/>
              <w:jc w:val="left"/>
              <w:rPr>
                <w:rFonts w:hint="eastAsia" w:ascii="宋体" w:hAnsi="宋体"/>
                <w:sz w:val="24"/>
              </w:rPr>
            </w:pPr>
            <w:r>
              <w:rPr>
                <w:rFonts w:hint="eastAsia" w:ascii="宋体" w:hAnsi="宋体"/>
                <w:sz w:val="24"/>
              </w:rPr>
              <w:t>（盖章）</w:t>
            </w:r>
          </w:p>
        </w:tc>
      </w:tr>
      <w:tr w14:paraId="1DED4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30559290">
            <w:pPr>
              <w:spacing w:line="360" w:lineRule="auto"/>
              <w:jc w:val="left"/>
              <w:rPr>
                <w:rFonts w:hint="eastAsia" w:ascii="宋体" w:hAnsi="宋体"/>
                <w:sz w:val="24"/>
              </w:rPr>
            </w:pPr>
            <w:r>
              <w:rPr>
                <w:rFonts w:hint="eastAsia" w:ascii="宋体" w:hAnsi="宋体"/>
                <w:sz w:val="24"/>
              </w:rPr>
              <w:t>地址：陕西省渭南市站北路一号</w:t>
            </w:r>
          </w:p>
        </w:tc>
        <w:tc>
          <w:tcPr>
            <w:tcW w:w="4441" w:type="dxa"/>
            <w:tcBorders>
              <w:top w:val="single" w:color="auto" w:sz="4" w:space="0"/>
              <w:left w:val="single" w:color="auto" w:sz="4" w:space="0"/>
              <w:bottom w:val="single" w:color="auto" w:sz="4" w:space="0"/>
              <w:right w:val="single" w:color="auto" w:sz="4" w:space="0"/>
            </w:tcBorders>
            <w:vAlign w:val="center"/>
          </w:tcPr>
          <w:p w14:paraId="0101CCD7">
            <w:pPr>
              <w:spacing w:line="360" w:lineRule="auto"/>
              <w:jc w:val="left"/>
              <w:rPr>
                <w:rFonts w:hint="eastAsia" w:ascii="宋体" w:hAnsi="宋体"/>
                <w:sz w:val="24"/>
              </w:rPr>
            </w:pPr>
            <w:r>
              <w:rPr>
                <w:rFonts w:hint="eastAsia" w:ascii="宋体" w:hAnsi="宋体"/>
                <w:sz w:val="24"/>
              </w:rPr>
              <w:t>地址：</w:t>
            </w:r>
          </w:p>
        </w:tc>
      </w:tr>
      <w:tr w14:paraId="32B8B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36FFC54C">
            <w:pPr>
              <w:spacing w:line="360" w:lineRule="auto"/>
              <w:jc w:val="left"/>
              <w:rPr>
                <w:rFonts w:hint="eastAsia" w:ascii="宋体" w:hAnsi="宋体"/>
                <w:sz w:val="24"/>
              </w:rPr>
            </w:pPr>
            <w:r>
              <w:rPr>
                <w:rFonts w:hint="eastAsia" w:ascii="宋体" w:hAnsi="宋体"/>
                <w:sz w:val="24"/>
              </w:rPr>
              <w:t>邮编：714000</w:t>
            </w:r>
          </w:p>
        </w:tc>
        <w:tc>
          <w:tcPr>
            <w:tcW w:w="4441" w:type="dxa"/>
            <w:tcBorders>
              <w:top w:val="single" w:color="auto" w:sz="4" w:space="0"/>
              <w:left w:val="single" w:color="auto" w:sz="4" w:space="0"/>
              <w:bottom w:val="single" w:color="auto" w:sz="4" w:space="0"/>
              <w:right w:val="single" w:color="auto" w:sz="4" w:space="0"/>
            </w:tcBorders>
            <w:vAlign w:val="center"/>
          </w:tcPr>
          <w:p w14:paraId="3B390F3F">
            <w:pPr>
              <w:spacing w:line="360" w:lineRule="auto"/>
              <w:jc w:val="left"/>
              <w:rPr>
                <w:rFonts w:hint="eastAsia" w:ascii="宋体" w:hAnsi="宋体"/>
                <w:sz w:val="24"/>
              </w:rPr>
            </w:pPr>
            <w:r>
              <w:rPr>
                <w:rFonts w:hint="eastAsia" w:ascii="宋体" w:hAnsi="宋体"/>
                <w:sz w:val="24"/>
              </w:rPr>
              <w:t>邮编：</w:t>
            </w:r>
          </w:p>
        </w:tc>
      </w:tr>
      <w:tr w14:paraId="1F880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vMerge w:val="restart"/>
            <w:tcBorders>
              <w:top w:val="single" w:color="auto" w:sz="4" w:space="0"/>
              <w:left w:val="single" w:color="auto" w:sz="4" w:space="0"/>
              <w:right w:val="single" w:color="auto" w:sz="4" w:space="0"/>
            </w:tcBorders>
            <w:vAlign w:val="center"/>
          </w:tcPr>
          <w:p w14:paraId="5002F709">
            <w:pPr>
              <w:spacing w:line="360" w:lineRule="auto"/>
              <w:jc w:val="left"/>
              <w:rPr>
                <w:rFonts w:hint="eastAsia" w:ascii="宋体" w:hAnsi="宋体"/>
                <w:sz w:val="24"/>
              </w:rPr>
            </w:pPr>
            <w:r>
              <w:rPr>
                <w:rFonts w:hint="eastAsia" w:ascii="宋体" w:hAnsi="宋体"/>
                <w:sz w:val="24"/>
              </w:rPr>
              <w:t>全权代表：（签字）</w:t>
            </w:r>
          </w:p>
        </w:tc>
        <w:tc>
          <w:tcPr>
            <w:tcW w:w="4441" w:type="dxa"/>
            <w:tcBorders>
              <w:top w:val="single" w:color="auto" w:sz="4" w:space="0"/>
              <w:left w:val="single" w:color="auto" w:sz="4" w:space="0"/>
              <w:bottom w:val="single" w:color="auto" w:sz="4" w:space="0"/>
              <w:right w:val="single" w:color="auto" w:sz="4" w:space="0"/>
            </w:tcBorders>
            <w:vAlign w:val="center"/>
          </w:tcPr>
          <w:p w14:paraId="33032758">
            <w:pPr>
              <w:spacing w:line="360" w:lineRule="auto"/>
              <w:jc w:val="left"/>
              <w:rPr>
                <w:rFonts w:hint="eastAsia" w:ascii="宋体" w:hAnsi="宋体"/>
                <w:sz w:val="24"/>
              </w:rPr>
            </w:pPr>
            <w:r>
              <w:rPr>
                <w:rFonts w:hint="eastAsia" w:ascii="宋体" w:hAnsi="宋体"/>
                <w:sz w:val="24"/>
              </w:rPr>
              <w:t>法定代表人：</w:t>
            </w:r>
          </w:p>
        </w:tc>
      </w:tr>
      <w:tr w14:paraId="05A1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vMerge w:val="continue"/>
            <w:tcBorders>
              <w:left w:val="single" w:color="auto" w:sz="4" w:space="0"/>
              <w:bottom w:val="single" w:color="auto" w:sz="4" w:space="0"/>
              <w:right w:val="single" w:color="auto" w:sz="4" w:space="0"/>
            </w:tcBorders>
            <w:vAlign w:val="center"/>
          </w:tcPr>
          <w:p w14:paraId="13261E72">
            <w:pPr>
              <w:spacing w:line="360" w:lineRule="auto"/>
              <w:jc w:val="left"/>
              <w:rPr>
                <w:rFonts w:hint="eastAsia"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48E42205">
            <w:pPr>
              <w:spacing w:line="360" w:lineRule="auto"/>
              <w:jc w:val="left"/>
              <w:rPr>
                <w:rFonts w:hint="eastAsia" w:ascii="宋体" w:hAnsi="宋体"/>
                <w:sz w:val="24"/>
              </w:rPr>
            </w:pPr>
            <w:r>
              <w:rPr>
                <w:rFonts w:hint="eastAsia" w:ascii="宋体" w:hAnsi="宋体"/>
                <w:sz w:val="24"/>
              </w:rPr>
              <w:t>被授权代表：（签字）</w:t>
            </w:r>
          </w:p>
        </w:tc>
      </w:tr>
      <w:tr w14:paraId="7210B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700FAD24">
            <w:pPr>
              <w:spacing w:line="360" w:lineRule="auto"/>
              <w:jc w:val="left"/>
              <w:rPr>
                <w:rFonts w:hint="eastAsia" w:ascii="宋体" w:hAnsi="宋体"/>
                <w:sz w:val="24"/>
              </w:rPr>
            </w:pPr>
            <w:r>
              <w:rPr>
                <w:rFonts w:hint="eastAsia" w:ascii="宋体" w:hAnsi="宋体"/>
                <w:sz w:val="24"/>
              </w:rPr>
              <w:t>电话：</w:t>
            </w:r>
          </w:p>
        </w:tc>
        <w:tc>
          <w:tcPr>
            <w:tcW w:w="4441" w:type="dxa"/>
            <w:tcBorders>
              <w:top w:val="single" w:color="auto" w:sz="4" w:space="0"/>
              <w:left w:val="single" w:color="auto" w:sz="4" w:space="0"/>
              <w:bottom w:val="single" w:color="auto" w:sz="4" w:space="0"/>
              <w:right w:val="single" w:color="auto" w:sz="4" w:space="0"/>
            </w:tcBorders>
            <w:vAlign w:val="center"/>
          </w:tcPr>
          <w:p w14:paraId="5CA7F714">
            <w:pPr>
              <w:spacing w:line="360" w:lineRule="auto"/>
              <w:jc w:val="left"/>
              <w:rPr>
                <w:rFonts w:hint="eastAsia" w:ascii="宋体" w:hAnsi="宋体"/>
                <w:sz w:val="24"/>
              </w:rPr>
            </w:pPr>
            <w:r>
              <w:rPr>
                <w:rFonts w:hint="eastAsia" w:ascii="宋体" w:hAnsi="宋体"/>
                <w:sz w:val="24"/>
              </w:rPr>
              <w:t>电话：</w:t>
            </w:r>
          </w:p>
        </w:tc>
      </w:tr>
      <w:tr w14:paraId="68A21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425EC1BC">
            <w:pPr>
              <w:spacing w:line="360" w:lineRule="auto"/>
              <w:jc w:val="left"/>
              <w:rPr>
                <w:rFonts w:hint="eastAsia" w:ascii="宋体" w:hAnsi="宋体"/>
                <w:sz w:val="24"/>
              </w:rPr>
            </w:pPr>
            <w:r>
              <w:rPr>
                <w:rFonts w:hint="eastAsia" w:ascii="宋体" w:hAnsi="宋体"/>
                <w:sz w:val="24"/>
              </w:rPr>
              <w:t>传真：</w:t>
            </w:r>
          </w:p>
        </w:tc>
        <w:tc>
          <w:tcPr>
            <w:tcW w:w="4441" w:type="dxa"/>
            <w:tcBorders>
              <w:top w:val="single" w:color="auto" w:sz="4" w:space="0"/>
              <w:left w:val="single" w:color="auto" w:sz="4" w:space="0"/>
              <w:bottom w:val="single" w:color="auto" w:sz="4" w:space="0"/>
              <w:right w:val="single" w:color="auto" w:sz="4" w:space="0"/>
            </w:tcBorders>
            <w:vAlign w:val="center"/>
          </w:tcPr>
          <w:p w14:paraId="6E73D958">
            <w:pPr>
              <w:spacing w:line="360" w:lineRule="auto"/>
              <w:jc w:val="left"/>
              <w:rPr>
                <w:rFonts w:hint="eastAsia" w:ascii="宋体" w:hAnsi="宋体"/>
                <w:sz w:val="24"/>
              </w:rPr>
            </w:pPr>
            <w:r>
              <w:rPr>
                <w:rFonts w:hint="eastAsia" w:ascii="宋体" w:hAnsi="宋体"/>
                <w:sz w:val="24"/>
              </w:rPr>
              <w:t>传真：</w:t>
            </w:r>
          </w:p>
        </w:tc>
      </w:tr>
      <w:tr w14:paraId="30A3E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1B728137">
            <w:pPr>
              <w:spacing w:line="360" w:lineRule="auto"/>
              <w:jc w:val="left"/>
              <w:rPr>
                <w:rFonts w:hint="eastAsia"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78F42B7D">
            <w:pPr>
              <w:spacing w:line="360" w:lineRule="auto"/>
              <w:jc w:val="left"/>
              <w:rPr>
                <w:rFonts w:hint="eastAsia" w:ascii="宋体" w:hAnsi="宋体"/>
                <w:sz w:val="24"/>
              </w:rPr>
            </w:pPr>
            <w:r>
              <w:rPr>
                <w:rFonts w:hint="eastAsia" w:ascii="宋体" w:hAnsi="宋体"/>
                <w:sz w:val="24"/>
              </w:rPr>
              <w:t>开户银行：</w:t>
            </w:r>
          </w:p>
        </w:tc>
      </w:tr>
      <w:tr w14:paraId="1695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367ADEB4">
            <w:pPr>
              <w:spacing w:line="360" w:lineRule="auto"/>
              <w:jc w:val="left"/>
              <w:rPr>
                <w:rFonts w:hint="eastAsia" w:ascii="宋体" w:hAnsi="宋体"/>
                <w:sz w:val="24"/>
              </w:rPr>
            </w:pPr>
          </w:p>
        </w:tc>
        <w:tc>
          <w:tcPr>
            <w:tcW w:w="4441" w:type="dxa"/>
            <w:tcBorders>
              <w:top w:val="single" w:color="auto" w:sz="4" w:space="0"/>
              <w:left w:val="single" w:color="auto" w:sz="4" w:space="0"/>
              <w:bottom w:val="single" w:color="auto" w:sz="4" w:space="0"/>
              <w:right w:val="single" w:color="auto" w:sz="4" w:space="0"/>
            </w:tcBorders>
            <w:vAlign w:val="center"/>
          </w:tcPr>
          <w:p w14:paraId="3D44024A">
            <w:pPr>
              <w:spacing w:line="360" w:lineRule="auto"/>
              <w:jc w:val="left"/>
              <w:rPr>
                <w:rFonts w:hint="eastAsia" w:ascii="宋体" w:hAnsi="宋体"/>
                <w:sz w:val="24"/>
              </w:rPr>
            </w:pPr>
            <w:r>
              <w:rPr>
                <w:rFonts w:hint="eastAsia" w:ascii="宋体" w:hAnsi="宋体"/>
                <w:sz w:val="24"/>
              </w:rPr>
              <w:t>账号:</w:t>
            </w:r>
          </w:p>
        </w:tc>
      </w:tr>
      <w:tr w14:paraId="53CAC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4440" w:type="dxa"/>
            <w:tcBorders>
              <w:top w:val="single" w:color="auto" w:sz="4" w:space="0"/>
              <w:left w:val="single" w:color="auto" w:sz="4" w:space="0"/>
              <w:bottom w:val="single" w:color="auto" w:sz="4" w:space="0"/>
              <w:right w:val="single" w:color="auto" w:sz="4" w:space="0"/>
            </w:tcBorders>
            <w:vAlign w:val="center"/>
          </w:tcPr>
          <w:p w14:paraId="08276426">
            <w:pPr>
              <w:spacing w:line="360" w:lineRule="auto"/>
              <w:jc w:val="left"/>
              <w:rPr>
                <w:rFonts w:hint="eastAsia" w:ascii="宋体" w:hAnsi="宋体"/>
                <w:sz w:val="24"/>
              </w:rPr>
            </w:pPr>
            <w:r>
              <w:rPr>
                <w:rFonts w:hint="eastAsia" w:ascii="宋体" w:hAnsi="宋体"/>
                <w:sz w:val="24"/>
              </w:rPr>
              <w:t>日期：  年   月   日</w:t>
            </w:r>
          </w:p>
        </w:tc>
        <w:tc>
          <w:tcPr>
            <w:tcW w:w="4441" w:type="dxa"/>
            <w:tcBorders>
              <w:top w:val="single" w:color="auto" w:sz="4" w:space="0"/>
              <w:left w:val="single" w:color="auto" w:sz="4" w:space="0"/>
              <w:bottom w:val="single" w:color="auto" w:sz="4" w:space="0"/>
              <w:right w:val="single" w:color="auto" w:sz="4" w:space="0"/>
            </w:tcBorders>
            <w:vAlign w:val="center"/>
          </w:tcPr>
          <w:p w14:paraId="1FE599EA">
            <w:pPr>
              <w:spacing w:line="360" w:lineRule="auto"/>
              <w:jc w:val="left"/>
              <w:rPr>
                <w:rFonts w:hint="eastAsia" w:ascii="宋体" w:hAnsi="宋体"/>
                <w:sz w:val="24"/>
              </w:rPr>
            </w:pPr>
            <w:r>
              <w:rPr>
                <w:rFonts w:hint="eastAsia" w:ascii="宋体" w:hAnsi="宋体"/>
                <w:sz w:val="24"/>
              </w:rPr>
              <w:t>日期：  年   月   日</w:t>
            </w:r>
          </w:p>
        </w:tc>
      </w:tr>
    </w:tbl>
    <w:p w14:paraId="7B6826E7">
      <w:pPr>
        <w:shd w:val="solid" w:color="FFFFFF" w:fill="auto"/>
        <w:tabs>
          <w:tab w:val="left" w:pos="480"/>
        </w:tabs>
        <w:autoSpaceDN w:val="0"/>
        <w:spacing w:line="500" w:lineRule="exact"/>
        <w:ind w:firstLine="420" w:firstLineChars="200"/>
        <w:rPr>
          <w:shd w:val="clear" w:color="auto" w:fill="FFFFFF"/>
        </w:rPr>
      </w:pPr>
    </w:p>
    <w:p w14:paraId="20CA0F27">
      <w:pPr>
        <w:tabs>
          <w:tab w:val="left" w:pos="5670"/>
        </w:tabs>
        <w:autoSpaceDE w:val="0"/>
        <w:autoSpaceDN w:val="0"/>
        <w:adjustRightInd w:val="0"/>
        <w:snapToGrid w:val="0"/>
        <w:spacing w:line="360" w:lineRule="auto"/>
        <w:rPr>
          <w:lang w:eastAsia="zh-Hans"/>
        </w:rPr>
      </w:pPr>
      <w:r>
        <w:rPr>
          <w:rFonts w:hint="eastAsia" w:ascii="宋体" w:hAnsi="宋体" w:cs="宋体"/>
          <w:bCs/>
          <w:szCs w:val="21"/>
        </w:rPr>
        <w:t xml:space="preserve">                                          </w:t>
      </w:r>
    </w:p>
    <w:p w14:paraId="3315BDBB"/>
    <w:p w14:paraId="3186EBD0">
      <w:pPr>
        <w:pStyle w:val="10"/>
        <w:rPr>
          <w:rFonts w:hint="default"/>
        </w:rPr>
      </w:pPr>
    </w:p>
    <w:p w14:paraId="29FD9785">
      <w:pPr>
        <w:pStyle w:val="10"/>
        <w:rPr>
          <w:rFonts w:hint="default"/>
          <w:lang w:eastAsia="zh-CN"/>
        </w:rPr>
      </w:pPr>
      <w:r>
        <w:rPr>
          <w:rFonts w:ascii="仿宋_GB2312" w:hAnsi="仿宋_GB2312" w:eastAsia="仿宋_GB2312" w:cs="仿宋_GB2312"/>
        </w:rPr>
        <w:t xml:space="preserve"> </w:t>
      </w:r>
      <w:r>
        <w:rPr>
          <w:rFonts w:ascii="仿宋_GB2312" w:hAnsi="仿宋_GB2312" w:eastAsia="仿宋_GB2312" w:cs="仿宋_GB2312"/>
        </w:rPr>
        <w:br w:type="textWrapping"/>
      </w:r>
    </w:p>
    <w:p w14:paraId="28DC62A2">
      <w:bookmarkStart w:id="7" w:name="_GoBack"/>
      <w:bookmarkEnd w:id="7"/>
    </w:p>
    <w:sectPr>
      <w:footerReference r:id="rId3" w:type="default"/>
      <w:pgSz w:w="11906" w:h="16838"/>
      <w:pgMar w:top="1440" w:right="1797" w:bottom="1440" w:left="1797"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DBD2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090855E8">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- 3 -</w:t>
                    </w:r>
                    <w:r>
                      <w:rPr>
                        <w:rFonts w:hint="eastAsia"/>
                        <w:sz w:val="1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mZTUzNTgxYzEzYTRhMWM4ODc2MTE5ZjVmNzIzNDEifQ=="/>
  </w:docVars>
  <w:rsids>
    <w:rsidRoot w:val="00000000"/>
    <w:rsid w:val="16FD2DDE"/>
    <w:rsid w:val="2CA336DC"/>
    <w:rsid w:val="2F76777D"/>
    <w:rsid w:val="3F32667F"/>
    <w:rsid w:val="40221CBC"/>
    <w:rsid w:val="49E050CE"/>
    <w:rsid w:val="51EC4305"/>
    <w:rsid w:val="65D85BF4"/>
    <w:rsid w:val="6C152747"/>
    <w:rsid w:val="79EE4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11"/>
    <w:qFormat/>
    <w:uiPriority w:val="99"/>
    <w:pPr>
      <w:keepNext/>
      <w:keepLines/>
      <w:spacing w:line="413" w:lineRule="auto"/>
      <w:outlineLvl w:val="1"/>
    </w:pPr>
    <w:rPr>
      <w:rFonts w:ascii="Arial" w:hAnsi="Arial" w:eastAsia="黑体"/>
      <w:b/>
      <w:kern w:val="0"/>
      <w:sz w:val="32"/>
      <w:szCs w:val="20"/>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Body Text"/>
    <w:basedOn w:val="1"/>
    <w:next w:val="1"/>
    <w:qFormat/>
    <w:uiPriority w:val="0"/>
    <w:pPr>
      <w:spacing w:after="120"/>
    </w:pPr>
  </w:style>
  <w:style w:type="paragraph" w:styleId="5">
    <w:name w:val="Plain Text"/>
    <w:basedOn w:val="1"/>
    <w:qFormat/>
    <w:uiPriority w:val="0"/>
    <w:rPr>
      <w:rFonts w:ascii="宋体" w:hAnsi="Courier New"/>
      <w:szCs w:val="20"/>
    </w:rPr>
  </w:style>
  <w:style w:type="paragraph" w:styleId="6">
    <w:name w:val="footer"/>
    <w:basedOn w:val="1"/>
    <w:qFormat/>
    <w:uiPriority w:val="0"/>
    <w:pPr>
      <w:tabs>
        <w:tab w:val="center" w:pos="4153"/>
        <w:tab w:val="right" w:pos="8306"/>
      </w:tabs>
      <w:snapToGrid w:val="0"/>
      <w:jc w:val="left"/>
    </w:pPr>
    <w:rPr>
      <w:sz w:val="18"/>
      <w:szCs w:val="18"/>
    </w:rPr>
  </w:style>
  <w:style w:type="paragraph" w:customStyle="1" w:styleId="9">
    <w:name w:val="列出段落1"/>
    <w:basedOn w:val="1"/>
    <w:qFormat/>
    <w:uiPriority w:val="99"/>
    <w:pPr>
      <w:ind w:firstLine="420" w:firstLineChars="200"/>
    </w:pPr>
    <w:rPr>
      <w:rFonts w:ascii="Calibri" w:hAnsi="Calibri" w:cs="Calibri"/>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character" w:customStyle="1" w:styleId="11">
    <w:name w:val="标题 2 字符"/>
    <w:link w:val="2"/>
    <w:qFormat/>
    <w:locked/>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891</Words>
  <Characters>891</Characters>
  <Lines>0</Lines>
  <Paragraphs>0</Paragraphs>
  <TotalTime>0</TotalTime>
  <ScaleCrop>false</ScaleCrop>
  <LinksUpToDate>false</LinksUpToDate>
  <CharactersWithSpaces>953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2024-09-10T03:01:00Z</dcterms:created>
  <dc:creator>Administrator</dc:creator>
  <cp:lastModifiedBy>安安</cp:lastModifiedBy>
  <dcterms:modified xsi:type="dcterms:W3CDTF">2026-04-16T08:41:42Z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25B0ED1896A1426882AFAC9C21B5A880_12</vt:lpwstr>
  </property>
  <property fmtid="{D5CDD505-2E9C-101B-9397-08002B2CF9AE}" pid="4" name="KSOTemplateDocerSaveRecord">
    <vt:lpwstr>eyJoZGlkIjoiNzFmZTUzNTgxYzEzYTRhMWM4ODc2MTE5ZjVmNzIzNDEiLCJ1c2VySWQiOiIxMTQ2NDU0OTA0In0=</vt:lpwstr>
  </property>
</Properties>
</file>