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版本号：LHZBZC2026023S（2）20260416001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高精度多参数自动气象监测站与地下水流速流向仪及生态水文过程模拟实验平台采购（原采购包2）（二次）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LHZBZC2026023S（2）</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凌辉建设工程咨询有限公司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凌辉建设工程咨询有限公司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高精度多参数自动气象监测站与地下水流速流向仪及生态水文过程模拟实验平台采购（原采购包2）（二次）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LHZBZC2026023S（2）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高精度多参数自动气象监测站与地下水流速流向仪及生态水文过程模拟实验平台采购（原采购包2）（二次）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采购包所采购的地下水流速流向仪主要通过流速、流向、水温、水位、俯视、360°环视等功能，可快速测定地下水流速和流向，优化地下水监测点位设置，对监测井井内水体、井内筛孔位置情况进行视频观察。需满足地下水环境监测、地下水水文监测、农业污染源调查评估、地下水污染径流监测、地下水污染环境应急监测等需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采购包1（地下水流速流向仪）：属于专门面向中小企业采购。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报告：提供2024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p>
      <w:pPr>
        <w:pStyle w:val="null3"/>
      </w:pPr>
      <w:r>
        <w:rPr>
          <w:rFonts w:ascii="仿宋_GB2312" w:hAnsi="仿宋_GB2312" w:cs="仿宋_GB2312" w:eastAsia="仿宋_GB2312"/>
        </w:rPr>
        <w:t>3、社保缴纳证明：提供递交投标文件截止时间前一年内任意一个月的社会保障资金缴存单据或社保机构开具的社会保险参保缴费情况证明。依法不需要缴纳社会保障资金的供应商应提供相关文件证明。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4、税收缴纳证明：提供递交投标文件截止时间前一年内已缴存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5、承诺书：提供具有履行本合同所必需的设备和专业技术能力的承诺。</w:t>
      </w:r>
    </w:p>
    <w:p>
      <w:pPr>
        <w:pStyle w:val="null3"/>
      </w:pPr>
      <w:r>
        <w:rPr>
          <w:rFonts w:ascii="仿宋_GB2312" w:hAnsi="仿宋_GB2312" w:cs="仿宋_GB2312" w:eastAsia="仿宋_GB2312"/>
        </w:rPr>
        <w:t>6、书面声明：参加政府采购活动前3年内，在经营活动中没有重大违法记录的书面声明。</w:t>
      </w:r>
    </w:p>
    <w:p>
      <w:pPr>
        <w:pStyle w:val="null3"/>
      </w:pPr>
      <w:r>
        <w:rPr>
          <w:rFonts w:ascii="仿宋_GB2312" w:hAnsi="仿宋_GB2312" w:cs="仿宋_GB2312" w:eastAsia="仿宋_GB2312"/>
        </w:rPr>
        <w:t>7、信用记录：供应商在信用中国（www.creditchina.gov.cn）未被列入重大税收违法失信主体、在中国执行信息公开网（http：//zxgk.court.gov.cn/）未被列入失信被执行人及在中国政府采购网（www.ccgp.gov.cn）未被列入政府采购严重违法失信行为记录名单。</w:t>
      </w:r>
    </w:p>
    <w:p>
      <w:pPr>
        <w:pStyle w:val="null3"/>
      </w:pPr>
      <w:r>
        <w:rPr>
          <w:rFonts w:ascii="仿宋_GB2312" w:hAnsi="仿宋_GB2312" w:cs="仿宋_GB2312" w:eastAsia="仿宋_GB2312"/>
        </w:rPr>
        <w:t>8、控股管理关系：提供直接控股和管理关系清单。若与其他供应商存在单位负责人为同一人或者存在直接控股、管理关系的，则投标无效。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9、法定代表人授权委托书：法定代表人参加投标的，须提供本人身份证复印件(附在资格证明文件中)；法定代表人授权他人参加投标的，须提供法定代表人授权委托书。投标文件中凡是需要法定代表人盖章之处，非法人单位的负责人均参照执行。法人的分支机构参与投标时，除提供《法定代表人授权委托书》外，还须同时提供法人给分支机构出具的授权书。</w:t>
      </w:r>
    </w:p>
    <w:p>
      <w:pPr>
        <w:pStyle w:val="null3"/>
      </w:pPr>
      <w:r>
        <w:rPr>
          <w:rFonts w:ascii="仿宋_GB2312" w:hAnsi="仿宋_GB2312" w:cs="仿宋_GB2312" w:eastAsia="仿宋_GB2312"/>
        </w:rPr>
        <w:t>10、本采购包不接受联合体投标，不允许分包：供应商应提供《非联合体不分包投标声明》，视为独立投标，不分包。</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61125884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凌辉建设工程咨询有限公司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西安市未央区太华北路甲字88号大明宫中央广场A座22层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高禧、宋妍、陈新鹏、黄沛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029-81010100-32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采购包1：680,000.00元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采购包1保证金金额：2,500.00元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开户名称：凌辉建设工程咨询有限公司</w:t>
            </w:r>
          </w:p>
          <w:p>
            <w:pPr>
              <w:pStyle w:val="null3"/>
            </w:pPr>
            <w:r>
              <w:rPr>
                <w:rFonts w:ascii="仿宋_GB2312" w:hAnsi="仿宋_GB2312" w:cs="仿宋_GB2312" w:eastAsia="仿宋_GB2312"/>
              </w:rPr>
              <w:t>开户银行：招商银行西安分行南大街支行</w:t>
            </w:r>
          </w:p>
          <w:p>
            <w:pPr>
              <w:pStyle w:val="null3"/>
            </w:pPr>
            <w:r>
              <w:rPr>
                <w:rFonts w:ascii="仿宋_GB2312" w:hAnsi="仿宋_GB2312" w:cs="仿宋_GB2312" w:eastAsia="仿宋_GB2312"/>
              </w:rPr>
              <w:t>银行账号：292083674310001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说明：投标人中标后凭中标通知书向采购人缴纳中标金额的5%作为履约保证金，采购人验收合格支付货款后，5%履约保证金无质量问题一次性无息退还。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每采购包80万以下项目招标代理服务费：5000.00元/项；每采购包80万～400万项目参照国家计委颁发的《招标代理服务收费管理暂行办法》（计价格〔2002〕1980号）及（发改办价格〔2011〕534号）规定的70.00%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凌辉建设工程咨询有限公司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凌辉建设工程咨询有限公司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凌辉建设工程咨询有限公司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详见招标文件及合同条款</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凌辉建设工程咨询有限公司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凌辉建设工程咨询有限公司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凌辉建设工程咨询有限公司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联系人：高禧、宋妍、陈新鹏、黄沛</w:t>
      </w:r>
    </w:p>
    <w:p>
      <w:pPr>
        <w:pStyle w:val="null3"/>
      </w:pPr>
      <w:r>
        <w:rPr>
          <w:rFonts w:ascii="仿宋_GB2312" w:hAnsi="仿宋_GB2312" w:cs="仿宋_GB2312" w:eastAsia="仿宋_GB2312"/>
        </w:rPr>
        <w:t>联系电话：029-81010100-32</w:t>
      </w:r>
    </w:p>
    <w:p>
      <w:pPr>
        <w:pStyle w:val="null3"/>
      </w:pPr>
      <w:r>
        <w:rPr>
          <w:rFonts w:ascii="仿宋_GB2312" w:hAnsi="仿宋_GB2312" w:cs="仿宋_GB2312" w:eastAsia="仿宋_GB2312"/>
        </w:rPr>
        <w:t>地址：西安市未央区大明宫中央广场A座22层</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 xml:space="preserve">本采购包所采购的地下水流速流向仪主要通过流速、流向、水温、水位、俯视、360°环视等功能，可快速测定地下水流速和流向，优化地下水监测点位设置，对监测井井内水体、井内筛孔位置情况进行视频观察。需满足地下水环境监测、地下水水文监测、农业污染源调查评估、地下水污染径流监测、地下水污染环境应急监测等需求。 </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680,000.00</w:t>
      </w:r>
    </w:p>
    <w:p>
      <w:pPr>
        <w:pStyle w:val="null3"/>
      </w:pPr>
      <w:r>
        <w:rPr>
          <w:rFonts w:ascii="仿宋_GB2312" w:hAnsi="仿宋_GB2312" w:cs="仿宋_GB2312" w:eastAsia="仿宋_GB2312"/>
        </w:rPr>
        <w:t>采购包最高限价（元）: 680,000.00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地下水流速流向仪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680,000.00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标的名称：地下水流速流向仪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09"/>
              <w:gridCol w:w="2616"/>
            </w:tblGrid>
            <w:tr>
              <w:tc>
                <w:tcPr>
                  <w:tcW w:type="dxa" w:w="3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六合一原位采集终端</w:t>
                  </w:r>
                </w:p>
              </w:tc>
              <w:tc>
                <w:tcPr>
                  <w:tcW w:type="dxa" w:w="26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1、测量原理：</w:t>
                  </w:r>
                  <w:r>
                    <w:rPr>
                      <w:rFonts w:ascii="仿宋_GB2312" w:hAnsi="仿宋_GB2312" w:cs="仿宋_GB2312" w:eastAsia="仿宋_GB2312"/>
                      <w:sz w:val="20"/>
                    </w:rPr>
                    <w:t>粒子图像识别测量技术；</w:t>
                  </w:r>
                </w:p>
                <w:p>
                  <w:pPr>
                    <w:pStyle w:val="null3"/>
                    <w:jc w:val="both"/>
                  </w:pPr>
                  <w:r>
                    <w:rPr>
                      <w:rFonts w:ascii="仿宋_GB2312" w:hAnsi="仿宋_GB2312" w:cs="仿宋_GB2312" w:eastAsia="仿宋_GB2312"/>
                      <w:sz w:val="20"/>
                    </w:rPr>
                    <w:t>2、流速测量范围</w:t>
                  </w:r>
                  <w:r>
                    <w:rPr>
                      <w:rFonts w:ascii="仿宋_GB2312" w:hAnsi="仿宋_GB2312" w:cs="仿宋_GB2312" w:eastAsia="仿宋_GB2312"/>
                      <w:sz w:val="20"/>
                    </w:rPr>
                    <w:t>：</w:t>
                  </w:r>
                  <w:r>
                    <w:rPr>
                      <w:rFonts w:ascii="仿宋_GB2312" w:hAnsi="仿宋_GB2312" w:cs="仿宋_GB2312" w:eastAsia="仿宋_GB2312"/>
                      <w:sz w:val="20"/>
                    </w:rPr>
                    <w:t>0</w:t>
                  </w:r>
                  <w:r>
                    <w:rPr>
                      <w:rFonts w:ascii="仿宋_GB2312" w:hAnsi="仿宋_GB2312" w:cs="仿宋_GB2312" w:eastAsia="仿宋_GB2312"/>
                      <w:sz w:val="20"/>
                    </w:rPr>
                    <w:t>～</w:t>
                  </w:r>
                  <w:r>
                    <w:rPr>
                      <w:rFonts w:ascii="仿宋_GB2312" w:hAnsi="仿宋_GB2312" w:cs="仿宋_GB2312" w:eastAsia="仿宋_GB2312"/>
                      <w:sz w:val="20"/>
                    </w:rPr>
                    <w:t>30mm/s，流速测量精度</w:t>
                  </w:r>
                  <w:r>
                    <w:rPr>
                      <w:rFonts w:ascii="仿宋_GB2312" w:hAnsi="仿宋_GB2312" w:cs="仿宋_GB2312" w:eastAsia="仿宋_GB2312"/>
                      <w:sz w:val="20"/>
                    </w:rPr>
                    <w:t>：</w:t>
                  </w:r>
                  <w:r>
                    <w:rPr>
                      <w:rFonts w:ascii="仿宋_GB2312" w:hAnsi="仿宋_GB2312" w:cs="仿宋_GB2312" w:eastAsia="仿宋_GB2312"/>
                      <w:sz w:val="20"/>
                    </w:rPr>
                    <w:t xml:space="preserve">≤0.01 </w:t>
                  </w:r>
                  <w:r>
                    <w:rPr>
                      <w:rFonts w:ascii="仿宋_GB2312" w:hAnsi="仿宋_GB2312" w:cs="仿宋_GB2312" w:eastAsia="仿宋_GB2312"/>
                      <w:sz w:val="20"/>
                    </w:rPr>
                    <w:t>μm</w:t>
                  </w:r>
                  <w:r>
                    <w:rPr>
                      <w:rFonts w:ascii="仿宋_GB2312" w:hAnsi="仿宋_GB2312" w:cs="仿宋_GB2312" w:eastAsia="仿宋_GB2312"/>
                      <w:sz w:val="20"/>
                    </w:rPr>
                    <w:t>/s；</w:t>
                  </w:r>
                </w:p>
                <w:p>
                  <w:pPr>
                    <w:pStyle w:val="null3"/>
                    <w:jc w:val="both"/>
                  </w:pPr>
                  <w:r>
                    <w:rPr>
                      <w:rFonts w:ascii="仿宋_GB2312" w:hAnsi="仿宋_GB2312" w:cs="仿宋_GB2312" w:eastAsia="仿宋_GB2312"/>
                      <w:sz w:val="20"/>
                    </w:rPr>
                    <w:t>3、方向测量范围</w:t>
                  </w:r>
                  <w:r>
                    <w:rPr>
                      <w:rFonts w:ascii="仿宋_GB2312" w:hAnsi="仿宋_GB2312" w:cs="仿宋_GB2312" w:eastAsia="仿宋_GB2312"/>
                      <w:sz w:val="20"/>
                    </w:rPr>
                    <w:t>：</w:t>
                  </w:r>
                  <w:r>
                    <w:rPr>
                      <w:rFonts w:ascii="仿宋_GB2312" w:hAnsi="仿宋_GB2312" w:cs="仿宋_GB2312" w:eastAsia="仿宋_GB2312"/>
                      <w:sz w:val="20"/>
                    </w:rPr>
                    <w:t>0</w:t>
                  </w:r>
                  <w:r>
                    <w:rPr>
                      <w:rFonts w:ascii="仿宋_GB2312" w:hAnsi="仿宋_GB2312" w:cs="仿宋_GB2312" w:eastAsia="仿宋_GB2312"/>
                      <w:sz w:val="20"/>
                    </w:rPr>
                    <w:t>～</w:t>
                  </w:r>
                  <w:r>
                    <w:rPr>
                      <w:rFonts w:ascii="仿宋_GB2312" w:hAnsi="仿宋_GB2312" w:cs="仿宋_GB2312" w:eastAsia="仿宋_GB2312"/>
                      <w:sz w:val="20"/>
                    </w:rPr>
                    <w:t>360°，方向分辨率</w:t>
                  </w:r>
                  <w:r>
                    <w:rPr>
                      <w:rFonts w:ascii="仿宋_GB2312" w:hAnsi="仿宋_GB2312" w:cs="仿宋_GB2312" w:eastAsia="仿宋_GB2312"/>
                      <w:sz w:val="20"/>
                    </w:rPr>
                    <w:t>：</w:t>
                  </w:r>
                  <w:r>
                    <w:rPr>
                      <w:rFonts w:ascii="仿宋_GB2312" w:hAnsi="仿宋_GB2312" w:cs="仿宋_GB2312" w:eastAsia="仿宋_GB2312"/>
                      <w:sz w:val="20"/>
                    </w:rPr>
                    <w:t>±0.1°；方位测量精度</w:t>
                  </w:r>
                  <w:r>
                    <w:rPr>
                      <w:rFonts w:ascii="仿宋_GB2312" w:hAnsi="仿宋_GB2312" w:cs="仿宋_GB2312" w:eastAsia="仿宋_GB2312"/>
                      <w:sz w:val="20"/>
                    </w:rPr>
                    <w:t>：</w:t>
                  </w:r>
                  <w:r>
                    <w:rPr>
                      <w:rFonts w:ascii="仿宋_GB2312" w:hAnsi="仿宋_GB2312" w:cs="仿宋_GB2312" w:eastAsia="仿宋_GB2312"/>
                      <w:sz w:val="20"/>
                    </w:rPr>
                    <w:t>±1°；</w:t>
                  </w:r>
                </w:p>
                <w:p>
                  <w:pPr>
                    <w:pStyle w:val="null3"/>
                    <w:jc w:val="both"/>
                  </w:pPr>
                  <w:r>
                    <w:rPr>
                      <w:rFonts w:ascii="仿宋_GB2312" w:hAnsi="仿宋_GB2312" w:cs="仿宋_GB2312" w:eastAsia="仿宋_GB2312"/>
                      <w:sz w:val="20"/>
                    </w:rPr>
                    <w:t>4、水温测量范围</w:t>
                  </w: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70℃,传感器精度</w:t>
                  </w:r>
                  <w:r>
                    <w:rPr>
                      <w:rFonts w:ascii="仿宋_GB2312" w:hAnsi="仿宋_GB2312" w:cs="仿宋_GB2312" w:eastAsia="仿宋_GB2312"/>
                      <w:sz w:val="20"/>
                    </w:rPr>
                    <w:t>：</w:t>
                  </w:r>
                  <w:r>
                    <w:rPr>
                      <w:rFonts w:ascii="仿宋_GB2312" w:hAnsi="仿宋_GB2312" w:cs="仿宋_GB2312" w:eastAsia="仿宋_GB2312"/>
                      <w:sz w:val="20"/>
                    </w:rPr>
                    <w:t>±1°C；</w:t>
                  </w:r>
                </w:p>
                <w:p>
                  <w:pPr>
                    <w:pStyle w:val="null3"/>
                    <w:jc w:val="both"/>
                  </w:pPr>
                  <w:r>
                    <w:rPr>
                      <w:rFonts w:ascii="仿宋_GB2312" w:hAnsi="仿宋_GB2312" w:cs="仿宋_GB2312" w:eastAsia="仿宋_GB2312"/>
                      <w:sz w:val="20"/>
                    </w:rPr>
                    <w:t>5、水位测量深度</w:t>
                  </w:r>
                  <w:r>
                    <w:rPr>
                      <w:rFonts w:ascii="仿宋_GB2312" w:hAnsi="仿宋_GB2312" w:cs="仿宋_GB2312" w:eastAsia="仿宋_GB2312"/>
                      <w:sz w:val="20"/>
                    </w:rPr>
                    <w:t>：</w:t>
                  </w:r>
                  <w:r>
                    <w:rPr>
                      <w:rFonts w:ascii="仿宋_GB2312" w:hAnsi="仿宋_GB2312" w:cs="仿宋_GB2312" w:eastAsia="仿宋_GB2312"/>
                      <w:sz w:val="20"/>
                    </w:rPr>
                    <w:t>0</w:t>
                  </w:r>
                  <w:r>
                    <w:rPr>
                      <w:rFonts w:ascii="仿宋_GB2312" w:hAnsi="仿宋_GB2312" w:cs="仿宋_GB2312" w:eastAsia="仿宋_GB2312"/>
                      <w:sz w:val="20"/>
                    </w:rPr>
                    <w:t>～</w:t>
                  </w:r>
                  <w:r>
                    <w:rPr>
                      <w:rFonts w:ascii="仿宋_GB2312" w:hAnsi="仿宋_GB2312" w:cs="仿宋_GB2312" w:eastAsia="仿宋_GB2312"/>
                      <w:sz w:val="20"/>
                    </w:rPr>
                    <w:t>100米，水位传感器精度</w:t>
                  </w:r>
                  <w:r>
                    <w:rPr>
                      <w:rFonts w:ascii="仿宋_GB2312" w:hAnsi="仿宋_GB2312" w:cs="仿宋_GB2312" w:eastAsia="仿宋_GB2312"/>
                      <w:sz w:val="20"/>
                    </w:rPr>
                    <w:t>：</w:t>
                  </w:r>
                  <w:r>
                    <w:rPr>
                      <w:rFonts w:ascii="仿宋_GB2312" w:hAnsi="仿宋_GB2312" w:cs="仿宋_GB2312" w:eastAsia="仿宋_GB2312"/>
                      <w:sz w:val="20"/>
                    </w:rPr>
                    <w:t>≤0.15% FS；</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原位采集</w:t>
                  </w:r>
                  <w:r>
                    <w:rPr>
                      <w:rFonts w:ascii="仿宋_GB2312" w:hAnsi="仿宋_GB2312" w:cs="仿宋_GB2312" w:eastAsia="仿宋_GB2312"/>
                      <w:sz w:val="20"/>
                    </w:rPr>
                    <w:t>终端</w:t>
                  </w:r>
                  <w:r>
                    <w:rPr>
                      <w:rFonts w:ascii="仿宋_GB2312" w:hAnsi="仿宋_GB2312" w:cs="仿宋_GB2312" w:eastAsia="仿宋_GB2312"/>
                      <w:sz w:val="20"/>
                    </w:rPr>
                    <w:t>重量</w:t>
                  </w: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kg</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原位采集</w:t>
                  </w:r>
                  <w:r>
                    <w:rPr>
                      <w:rFonts w:ascii="仿宋_GB2312" w:hAnsi="仿宋_GB2312" w:cs="仿宋_GB2312" w:eastAsia="仿宋_GB2312"/>
                      <w:sz w:val="20"/>
                    </w:rPr>
                    <w:t>终端</w:t>
                  </w:r>
                  <w:r>
                    <w:rPr>
                      <w:rFonts w:ascii="仿宋_GB2312" w:hAnsi="仿宋_GB2312" w:cs="仿宋_GB2312" w:eastAsia="仿宋_GB2312"/>
                      <w:sz w:val="20"/>
                    </w:rPr>
                    <w:t>直径：</w:t>
                  </w:r>
                  <w:r>
                    <w:rPr>
                      <w:rFonts w:ascii="仿宋_GB2312" w:hAnsi="仿宋_GB2312" w:cs="仿宋_GB2312" w:eastAsia="仿宋_GB2312"/>
                      <w:sz w:val="20"/>
                    </w:rPr>
                    <w:t>≤5cm；</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原位采集</w:t>
                  </w:r>
                  <w:r>
                    <w:rPr>
                      <w:rFonts w:ascii="仿宋_GB2312" w:hAnsi="仿宋_GB2312" w:cs="仿宋_GB2312" w:eastAsia="仿宋_GB2312"/>
                      <w:sz w:val="20"/>
                    </w:rPr>
                    <w:t>终端</w:t>
                  </w:r>
                  <w:r>
                    <w:rPr>
                      <w:rFonts w:ascii="仿宋_GB2312" w:hAnsi="仿宋_GB2312" w:cs="仿宋_GB2312" w:eastAsia="仿宋_GB2312"/>
                      <w:sz w:val="20"/>
                    </w:rPr>
                    <w:t>长度：</w:t>
                  </w:r>
                  <w:r>
                    <w:rPr>
                      <w:rFonts w:ascii="仿宋_GB2312" w:hAnsi="仿宋_GB2312" w:cs="仿宋_GB2312" w:eastAsia="仿宋_GB2312"/>
                      <w:sz w:val="20"/>
                    </w:rPr>
                    <w:t>≤</w:t>
                  </w:r>
                  <w:r>
                    <w:rPr>
                      <w:rFonts w:ascii="仿宋_GB2312" w:hAnsi="仿宋_GB2312" w:cs="仿宋_GB2312" w:eastAsia="仿宋_GB2312"/>
                      <w:sz w:val="20"/>
                    </w:rPr>
                    <w:t>70</w:t>
                  </w:r>
                  <w:r>
                    <w:rPr>
                      <w:rFonts w:ascii="仿宋_GB2312" w:hAnsi="仿宋_GB2312" w:cs="仿宋_GB2312" w:eastAsia="仿宋_GB2312"/>
                      <w:sz w:val="20"/>
                    </w:rPr>
                    <w:t>cm</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9、原位采集终端材料</w:t>
                  </w:r>
                  <w:r>
                    <w:rPr>
                      <w:rFonts w:ascii="仿宋_GB2312" w:hAnsi="仿宋_GB2312" w:cs="仿宋_GB2312" w:eastAsia="仿宋_GB2312"/>
                      <w:sz w:val="20"/>
                    </w:rPr>
                    <w:t>：</w:t>
                  </w:r>
                  <w:r>
                    <w:rPr>
                      <w:rFonts w:ascii="仿宋_GB2312" w:hAnsi="仿宋_GB2312" w:cs="仿宋_GB2312" w:eastAsia="仿宋_GB2312"/>
                      <w:sz w:val="20"/>
                    </w:rPr>
                    <w:t>等同或优于</w:t>
                  </w:r>
                  <w:r>
                    <w:rPr>
                      <w:rFonts w:ascii="仿宋_GB2312" w:hAnsi="仿宋_GB2312" w:cs="仿宋_GB2312" w:eastAsia="仿宋_GB2312"/>
                      <w:sz w:val="20"/>
                    </w:rPr>
                    <w:t>304以上</w:t>
                  </w:r>
                  <w:r>
                    <w:rPr>
                      <w:rFonts w:ascii="仿宋_GB2312" w:hAnsi="仿宋_GB2312" w:cs="仿宋_GB2312" w:eastAsia="仿宋_GB2312"/>
                      <w:sz w:val="20"/>
                    </w:rPr>
                    <w:t>系列不锈钢等防锈材料；</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10、原位采集终端：由水温、水位、流速、流向、俯视、360°环视六功能合一集成；</w:t>
                  </w:r>
                </w:p>
                <w:p>
                  <w:pPr>
                    <w:pStyle w:val="null3"/>
                    <w:jc w:val="both"/>
                  </w:pPr>
                  <w:r>
                    <w:rPr>
                      <w:rFonts w:ascii="仿宋_GB2312" w:hAnsi="仿宋_GB2312" w:cs="仿宋_GB2312" w:eastAsia="仿宋_GB2312"/>
                      <w:sz w:val="20"/>
                    </w:rPr>
                    <w:t>工作环境要求：</w:t>
                  </w:r>
                </w:p>
                <w:p>
                  <w:pPr>
                    <w:pStyle w:val="null3"/>
                    <w:jc w:val="both"/>
                  </w:pPr>
                  <w:r>
                    <w:rPr>
                      <w:rFonts w:ascii="仿宋_GB2312" w:hAnsi="仿宋_GB2312" w:cs="仿宋_GB2312" w:eastAsia="仿宋_GB2312"/>
                      <w:sz w:val="20"/>
                    </w:rPr>
                    <w:t>1、探测井直径</w:t>
                  </w:r>
                  <w:r>
                    <w:rPr>
                      <w:rFonts w:ascii="仿宋_GB2312" w:hAnsi="仿宋_GB2312" w:cs="仿宋_GB2312" w:eastAsia="仿宋_GB2312"/>
                      <w:sz w:val="20"/>
                    </w:rPr>
                    <w:t>：</w:t>
                  </w:r>
                  <w:r>
                    <w:rPr>
                      <w:rFonts w:ascii="仿宋_GB2312" w:hAnsi="仿宋_GB2312" w:cs="仿宋_GB2312" w:eastAsia="仿宋_GB2312"/>
                      <w:sz w:val="20"/>
                    </w:rPr>
                    <w:t>≥50mm；</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流速流向智能分析仪</w:t>
                  </w:r>
                </w:p>
              </w:tc>
              <w:tc>
                <w:tcPr>
                  <w:tcW w:type="dxa" w:w="2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分析仪</w:t>
                  </w:r>
                  <w:r>
                    <w:rPr>
                      <w:rFonts w:ascii="仿宋_GB2312" w:hAnsi="仿宋_GB2312" w:cs="仿宋_GB2312" w:eastAsia="仿宋_GB2312"/>
                      <w:sz w:val="20"/>
                    </w:rPr>
                    <w:t>显示器分辨率</w:t>
                  </w:r>
                  <w:r>
                    <w:rPr>
                      <w:rFonts w:ascii="仿宋_GB2312" w:hAnsi="仿宋_GB2312" w:cs="仿宋_GB2312" w:eastAsia="仿宋_GB2312"/>
                      <w:sz w:val="20"/>
                    </w:rPr>
                    <w:t>：</w:t>
                  </w:r>
                  <w:r>
                    <w:rPr>
                      <w:rFonts w:ascii="仿宋_GB2312" w:hAnsi="仿宋_GB2312" w:cs="仿宋_GB2312" w:eastAsia="仿宋_GB2312"/>
                      <w:sz w:val="20"/>
                    </w:rPr>
                    <w:t>≥1024*768</w:t>
                  </w:r>
                  <w:r>
                    <w:rPr>
                      <w:rFonts w:ascii="仿宋_GB2312" w:hAnsi="仿宋_GB2312" w:cs="仿宋_GB2312" w:eastAsia="仿宋_GB2312"/>
                      <w:sz w:val="21"/>
                    </w:rPr>
                    <w:t xml:space="preserve"> </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2、具备同时录制井下电视和流向流速图像，支持保存图片；</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支持</w:t>
                  </w:r>
                  <w:r>
                    <w:rPr>
                      <w:rFonts w:ascii="仿宋_GB2312" w:hAnsi="仿宋_GB2312" w:cs="仿宋_GB2312" w:eastAsia="仿宋_GB2312"/>
                      <w:sz w:val="20"/>
                    </w:rPr>
                    <w:t>导出录制视频，水温、水位、流向、流速等参数；</w:t>
                  </w:r>
                </w:p>
                <w:p>
                  <w:pPr>
                    <w:pStyle w:val="null3"/>
                    <w:jc w:val="both"/>
                  </w:pPr>
                  <w:r>
                    <w:rPr>
                      <w:rFonts w:ascii="仿宋_GB2312" w:hAnsi="仿宋_GB2312" w:cs="仿宋_GB2312" w:eastAsia="仿宋_GB2312"/>
                      <w:sz w:val="20"/>
                    </w:rPr>
                    <w:t>4、支持 GPS 定位，wif,usb，有线网络传输；</w:t>
                  </w:r>
                </w:p>
                <w:p>
                  <w:pPr>
                    <w:pStyle w:val="null3"/>
                    <w:jc w:val="both"/>
                  </w:pPr>
                  <w:r>
                    <w:rPr>
                      <w:rFonts w:ascii="仿宋_GB2312" w:hAnsi="仿宋_GB2312" w:cs="仿宋_GB2312" w:eastAsia="仿宋_GB2312"/>
                      <w:sz w:val="20"/>
                    </w:rPr>
                    <w:t>5、CPU不低于双核四线程，内存：≥8G，闪存：≥128G；</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须</w:t>
                  </w:r>
                  <w:r>
                    <w:rPr>
                      <w:rFonts w:ascii="仿宋_GB2312" w:hAnsi="仿宋_GB2312" w:cs="仿宋_GB2312" w:eastAsia="仿宋_GB2312"/>
                      <w:sz w:val="20"/>
                    </w:rPr>
                    <w:t>具备井下电视功能</w:t>
                  </w:r>
                  <w:r>
                    <w:rPr>
                      <w:rFonts w:ascii="仿宋_GB2312" w:hAnsi="仿宋_GB2312" w:cs="仿宋_GB2312" w:eastAsia="仿宋_GB2312"/>
                      <w:sz w:val="20"/>
                    </w:rPr>
                    <w:t>：</w:t>
                  </w:r>
                  <w:r>
                    <w:rPr>
                      <w:rFonts w:ascii="仿宋_GB2312" w:hAnsi="仿宋_GB2312" w:cs="仿宋_GB2312" w:eastAsia="仿宋_GB2312"/>
                      <w:sz w:val="20"/>
                    </w:rPr>
                    <w:t>可支持俯视向下和侧壁</w:t>
                  </w:r>
                  <w:r>
                    <w:rPr>
                      <w:rFonts w:ascii="仿宋_GB2312" w:hAnsi="仿宋_GB2312" w:cs="仿宋_GB2312" w:eastAsia="仿宋_GB2312"/>
                      <w:sz w:val="20"/>
                    </w:rPr>
                    <w:t>360°环视，支持井下照明；</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、内置打印</w:t>
                  </w:r>
                  <w:r>
                    <w:rPr>
                      <w:rFonts w:ascii="仿宋_GB2312" w:hAnsi="仿宋_GB2312" w:cs="仿宋_GB2312" w:eastAsia="仿宋_GB2312"/>
                      <w:sz w:val="20"/>
                    </w:rPr>
                    <w:t>：</w:t>
                  </w:r>
                  <w:r>
                    <w:rPr>
                      <w:rFonts w:ascii="仿宋_GB2312" w:hAnsi="仿宋_GB2312" w:cs="仿宋_GB2312" w:eastAsia="仿宋_GB2312"/>
                      <w:sz w:val="20"/>
                    </w:rPr>
                    <w:t>可现场打印当前流向、流速以及其他参数；</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、主机控制器</w:t>
                  </w:r>
                  <w:r>
                    <w:rPr>
                      <w:rFonts w:ascii="仿宋_GB2312" w:hAnsi="仿宋_GB2312" w:cs="仿宋_GB2312" w:eastAsia="仿宋_GB2312"/>
                      <w:sz w:val="20"/>
                    </w:rPr>
                    <w:t>：</w:t>
                  </w:r>
                  <w:r>
                    <w:rPr>
                      <w:rFonts w:ascii="仿宋_GB2312" w:hAnsi="仿宋_GB2312" w:cs="仿宋_GB2312" w:eastAsia="仿宋_GB2312"/>
                      <w:sz w:val="20"/>
                    </w:rPr>
                    <w:t>需自带硅胶智能键盘，内置大气压力传感器；</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、外部尺寸（长</w:t>
                  </w:r>
                  <w:r>
                    <w:rPr>
                      <w:rFonts w:ascii="仿宋_GB2312" w:hAnsi="仿宋_GB2312" w:cs="仿宋_GB2312" w:eastAsia="仿宋_GB2312"/>
                      <w:sz w:val="20"/>
                    </w:rPr>
                    <w:t>×宽×高）：≤420mm×3</w:t>
                  </w:r>
                  <w:r>
                    <w:rPr>
                      <w:rFonts w:ascii="仿宋_GB2312" w:hAnsi="仿宋_GB2312" w:cs="仿宋_GB2312" w:eastAsia="仿宋_GB2312"/>
                      <w:sz w:val="20"/>
                    </w:rPr>
                    <w:t>5</w:t>
                  </w:r>
                  <w:r>
                    <w:rPr>
                      <w:rFonts w:ascii="仿宋_GB2312" w:hAnsi="仿宋_GB2312" w:cs="仿宋_GB2312" w:eastAsia="仿宋_GB2312"/>
                      <w:sz w:val="20"/>
                    </w:rPr>
                    <w:t>0mm×1</w:t>
                  </w:r>
                  <w:r>
                    <w:rPr>
                      <w:rFonts w:ascii="仿宋_GB2312" w:hAnsi="仿宋_GB2312" w:cs="仿宋_GB2312" w:eastAsia="仿宋_GB2312"/>
                      <w:sz w:val="20"/>
                    </w:rPr>
                    <w:t>8</w:t>
                  </w:r>
                  <w:r>
                    <w:rPr>
                      <w:rFonts w:ascii="仿宋_GB2312" w:hAnsi="仿宋_GB2312" w:cs="仿宋_GB2312" w:eastAsia="仿宋_GB2312"/>
                      <w:sz w:val="20"/>
                    </w:rPr>
                    <w:t>0mm；</w:t>
                  </w:r>
                </w:p>
                <w:p>
                  <w:pPr>
                    <w:pStyle w:val="null3"/>
                    <w:jc w:val="both"/>
                  </w:pPr>
                  <w:r>
                    <w:rPr>
                      <w:rFonts w:ascii="仿宋_GB2312" w:hAnsi="仿宋_GB2312" w:cs="仿宋_GB2312" w:eastAsia="仿宋_GB2312"/>
                      <w:sz w:val="20"/>
                    </w:rPr>
                    <w:t>工作环境要求：</w:t>
                  </w:r>
                </w:p>
                <w:p>
                  <w:pPr>
                    <w:pStyle w:val="null3"/>
                    <w:jc w:val="both"/>
                  </w:pPr>
                  <w:r>
                    <w:rPr>
                      <w:rFonts w:ascii="仿宋_GB2312" w:hAnsi="仿宋_GB2312" w:cs="仿宋_GB2312" w:eastAsia="仿宋_GB2312"/>
                      <w:sz w:val="20"/>
                    </w:rPr>
                    <w:t>1、工作温度范围</w:t>
                  </w:r>
                  <w:r>
                    <w:rPr>
                      <w:rFonts w:ascii="仿宋_GB2312" w:hAnsi="仿宋_GB2312" w:cs="仿宋_GB2312" w:eastAsia="仿宋_GB2312"/>
                      <w:sz w:val="20"/>
                    </w:rPr>
                    <w:t>：</w:t>
                  </w:r>
                  <w:r>
                    <w:rPr>
                      <w:rFonts w:ascii="仿宋_GB2312" w:hAnsi="仿宋_GB2312" w:cs="仿宋_GB2312" w:eastAsia="仿宋_GB2312"/>
                      <w:sz w:val="20"/>
                    </w:rPr>
                    <w:t>-10℃</w:t>
                  </w:r>
                  <w:r>
                    <w:rPr>
                      <w:rFonts w:ascii="仿宋_GB2312" w:hAnsi="仿宋_GB2312" w:cs="仿宋_GB2312" w:eastAsia="仿宋_GB2312"/>
                      <w:sz w:val="20"/>
                    </w:rPr>
                    <w:t>～</w:t>
                  </w:r>
                  <w:r>
                    <w:rPr>
                      <w:rFonts w:ascii="仿宋_GB2312" w:hAnsi="仿宋_GB2312" w:cs="仿宋_GB2312" w:eastAsia="仿宋_GB2312"/>
                      <w:sz w:val="20"/>
                    </w:rPr>
                    <w:t>50℃；</w:t>
                  </w:r>
                </w:p>
                <w:p>
                  <w:pPr>
                    <w:pStyle w:val="null3"/>
                    <w:jc w:val="both"/>
                  </w:pPr>
                  <w:r>
                    <w:rPr>
                      <w:rFonts w:ascii="仿宋_GB2312" w:hAnsi="仿宋_GB2312" w:cs="仿宋_GB2312" w:eastAsia="仿宋_GB2312"/>
                      <w:sz w:val="20"/>
                    </w:rPr>
                    <w:t>2、工作湿度范围</w:t>
                  </w:r>
                  <w:r>
                    <w:rPr>
                      <w:rFonts w:ascii="仿宋_GB2312" w:hAnsi="仿宋_GB2312" w:cs="仿宋_GB2312" w:eastAsia="仿宋_GB2312"/>
                      <w:sz w:val="20"/>
                    </w:rPr>
                    <w:t>：</w:t>
                  </w:r>
                  <w:r>
                    <w:rPr>
                      <w:rFonts w:ascii="仿宋_GB2312" w:hAnsi="仿宋_GB2312" w:cs="仿宋_GB2312" w:eastAsia="仿宋_GB2312"/>
                      <w:sz w:val="20"/>
                    </w:rPr>
                    <w:t>≤80%RH；</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复合</w:t>
                  </w:r>
                </w:p>
                <w:p>
                  <w:pPr>
                    <w:pStyle w:val="null3"/>
                    <w:jc w:val="center"/>
                  </w:pPr>
                  <w:r>
                    <w:rPr>
                      <w:rFonts w:ascii="仿宋_GB2312" w:hAnsi="仿宋_GB2312" w:cs="仿宋_GB2312" w:eastAsia="仿宋_GB2312"/>
                      <w:sz w:val="20"/>
                    </w:rPr>
                    <w:t>传输线缆</w:t>
                  </w:r>
                </w:p>
              </w:tc>
              <w:tc>
                <w:tcPr>
                  <w:tcW w:type="dxa" w:w="2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1、复合线缆长度：≥100m；</w:t>
                  </w:r>
                </w:p>
                <w:p>
                  <w:pPr>
                    <w:pStyle w:val="null3"/>
                    <w:jc w:val="both"/>
                  </w:pPr>
                  <w:r>
                    <w:rPr>
                      <w:rFonts w:ascii="仿宋_GB2312" w:hAnsi="仿宋_GB2312" w:cs="仿宋_GB2312" w:eastAsia="仿宋_GB2312"/>
                      <w:sz w:val="20"/>
                    </w:rPr>
                    <w:t>2、复合线缆尺寸：≤1cm；</w:t>
                  </w:r>
                </w:p>
                <w:p>
                  <w:pPr>
                    <w:pStyle w:val="null3"/>
                    <w:jc w:val="both"/>
                  </w:pPr>
                  <w:r>
                    <w:rPr>
                      <w:rFonts w:ascii="仿宋_GB2312" w:hAnsi="仿宋_GB2312" w:cs="仿宋_GB2312" w:eastAsia="仿宋_GB2312"/>
                      <w:sz w:val="20"/>
                    </w:rPr>
                    <w:t>3、复合线缆与探头之间的承重能力需为一体化承重能力；</w:t>
                  </w:r>
                </w:p>
                <w:p>
                  <w:pPr>
                    <w:pStyle w:val="null3"/>
                    <w:jc w:val="both"/>
                  </w:pPr>
                  <w:r>
                    <w:rPr>
                      <w:rFonts w:ascii="仿宋_GB2312" w:hAnsi="仿宋_GB2312" w:cs="仿宋_GB2312" w:eastAsia="仿宋_GB2312"/>
                      <w:sz w:val="20"/>
                    </w:rPr>
                    <w:t>4、复合线缆需具有米标显示，内置拉力称重钢丝绳（钢丝绳承重≥80kg）和采集数据线；</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供电单元</w:t>
                  </w:r>
                </w:p>
              </w:tc>
              <w:tc>
                <w:tcPr>
                  <w:tcW w:type="dxa" w:w="2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1.供电单元类型：便携式移动电源；</w:t>
                  </w:r>
                </w:p>
                <w:p>
                  <w:pPr>
                    <w:pStyle w:val="null3"/>
                  </w:pPr>
                  <w:r>
                    <w:rPr>
                      <w:rFonts w:ascii="仿宋_GB2312" w:hAnsi="仿宋_GB2312" w:cs="仿宋_GB2312" w:eastAsia="仿宋_GB2312"/>
                      <w:sz w:val="20"/>
                    </w:rPr>
                    <w:t>2.电池类型</w:t>
                  </w:r>
                  <w:r>
                    <w:rPr>
                      <w:rFonts w:ascii="仿宋_GB2312" w:hAnsi="仿宋_GB2312" w:cs="仿宋_GB2312" w:eastAsia="仿宋_GB2312"/>
                      <w:sz w:val="20"/>
                    </w:rPr>
                    <w:t>：</w:t>
                  </w:r>
                  <w:r>
                    <w:rPr>
                      <w:rFonts w:ascii="仿宋_GB2312" w:hAnsi="仿宋_GB2312" w:cs="仿宋_GB2312" w:eastAsia="仿宋_GB2312"/>
                      <w:sz w:val="20"/>
                    </w:rPr>
                    <w:t>锂离子；</w:t>
                  </w:r>
                </w:p>
              </w:tc>
            </w:tr>
            <w:tr>
              <w:tc>
                <w:tcPr>
                  <w:tcW w:type="dxa" w:w="292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tbl>
                  <w:tblPr>
                    <w:tblInd w:type="dxa" w:w="135"/>
                    <w:tblBorders>
                      <w:top w:val="none" w:color="000000" w:sz="4"/>
                      <w:left w:val="none" w:color="000000" w:sz="4"/>
                      <w:bottom w:val="none" w:color="000000" w:sz="4"/>
                      <w:right w:val="none" w:color="000000" w:sz="4"/>
                      <w:insideH w:val="none"/>
                      <w:insideV w:val="none"/>
                    </w:tblBorders>
                  </w:tblPr>
                  <w:tblGrid>
                    <w:gridCol w:w="1642"/>
                    <w:gridCol w:w="806"/>
                    <w:gridCol w:w="931"/>
                  </w:tblGrid>
                  <w:tr>
                    <w:tc>
                      <w:tcPr>
                        <w:tcW w:type="dxa" w:w="16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60" w:firstLine="12"/>
                          <w:jc w:val="both"/>
                        </w:pPr>
                        <w:r>
                          <w:rPr>
                            <w:rFonts w:ascii="仿宋_GB2312" w:hAnsi="仿宋_GB2312" w:cs="仿宋_GB2312" w:eastAsia="仿宋_GB2312"/>
                            <w:sz w:val="20"/>
                          </w:rPr>
                          <w:t>货物名称</w:t>
                        </w:r>
                      </w:p>
                    </w:tc>
                    <w:tc>
                      <w:tcPr>
                        <w:tcW w:type="dxa" w:w="8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60" w:firstLine="12"/>
                          <w:jc w:val="both"/>
                        </w:pPr>
                        <w:r>
                          <w:rPr>
                            <w:rFonts w:ascii="仿宋_GB2312" w:hAnsi="仿宋_GB2312" w:cs="仿宋_GB2312" w:eastAsia="仿宋_GB2312"/>
                            <w:sz w:val="20"/>
                          </w:rPr>
                          <w:t>数量</w:t>
                        </w:r>
                      </w:p>
                    </w:tc>
                    <w:tc>
                      <w:tcPr>
                        <w:tcW w:type="dxa" w:w="9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60" w:firstLine="12"/>
                          <w:jc w:val="both"/>
                        </w:pPr>
                        <w:r>
                          <w:rPr>
                            <w:rFonts w:ascii="仿宋_GB2312" w:hAnsi="仿宋_GB2312" w:cs="仿宋_GB2312" w:eastAsia="仿宋_GB2312"/>
                            <w:sz w:val="20"/>
                          </w:rPr>
                          <w:t>单位</w:t>
                        </w:r>
                      </w:p>
                    </w:tc>
                  </w:tr>
                  <w:tr>
                    <w:tc>
                      <w:tcPr>
                        <w:tcW w:type="dxa" w:w="1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60" w:firstLine="12"/>
                          <w:jc w:val="both"/>
                        </w:pPr>
                        <w:r>
                          <w:rPr>
                            <w:rFonts w:ascii="仿宋_GB2312" w:hAnsi="仿宋_GB2312" w:cs="仿宋_GB2312" w:eastAsia="仿宋_GB2312"/>
                            <w:sz w:val="20"/>
                          </w:rPr>
                          <w:t>六合一</w:t>
                        </w:r>
                        <w:r>
                          <w:rPr>
                            <w:rFonts w:ascii="仿宋_GB2312" w:hAnsi="仿宋_GB2312" w:cs="仿宋_GB2312" w:eastAsia="仿宋_GB2312"/>
                            <w:sz w:val="20"/>
                          </w:rPr>
                          <w:t>原位采集终端</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60" w:firstLine="12"/>
                          <w:jc w:val="both"/>
                        </w:pPr>
                        <w:r>
                          <w:rPr>
                            <w:rFonts w:ascii="仿宋_GB2312" w:hAnsi="仿宋_GB2312" w:cs="仿宋_GB2312" w:eastAsia="仿宋_GB2312"/>
                            <w:sz w:val="20"/>
                          </w:rPr>
                          <w:t>1</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60" w:firstLine="12"/>
                          <w:jc w:val="both"/>
                        </w:pPr>
                        <w:r>
                          <w:rPr>
                            <w:rFonts w:ascii="仿宋_GB2312" w:hAnsi="仿宋_GB2312" w:cs="仿宋_GB2312" w:eastAsia="仿宋_GB2312"/>
                            <w:sz w:val="20"/>
                          </w:rPr>
                          <w:t>套</w:t>
                        </w:r>
                      </w:p>
                    </w:tc>
                  </w:tr>
                  <w:tr>
                    <w:tc>
                      <w:tcPr>
                        <w:tcW w:type="dxa" w:w="1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60" w:firstLine="12"/>
                          <w:jc w:val="both"/>
                        </w:pPr>
                        <w:r>
                          <w:rPr>
                            <w:rFonts w:ascii="仿宋_GB2312" w:hAnsi="仿宋_GB2312" w:cs="仿宋_GB2312" w:eastAsia="仿宋_GB2312"/>
                            <w:sz w:val="20"/>
                          </w:rPr>
                          <w:t>流速流向智能分析仪</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60" w:firstLine="12"/>
                          <w:jc w:val="both"/>
                        </w:pPr>
                        <w:r>
                          <w:rPr>
                            <w:rFonts w:ascii="仿宋_GB2312" w:hAnsi="仿宋_GB2312" w:cs="仿宋_GB2312" w:eastAsia="仿宋_GB2312"/>
                            <w:sz w:val="20"/>
                          </w:rPr>
                          <w:t>1</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60" w:firstLine="12"/>
                          <w:jc w:val="both"/>
                        </w:pPr>
                        <w:r>
                          <w:rPr>
                            <w:rFonts w:ascii="仿宋_GB2312" w:hAnsi="仿宋_GB2312" w:cs="仿宋_GB2312" w:eastAsia="仿宋_GB2312"/>
                            <w:sz w:val="20"/>
                          </w:rPr>
                          <w:t>台</w:t>
                        </w:r>
                      </w:p>
                    </w:tc>
                  </w:tr>
                  <w:tr>
                    <w:tc>
                      <w:tcPr>
                        <w:tcW w:type="dxa" w:w="1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60" w:firstLine="12"/>
                          <w:jc w:val="both"/>
                        </w:pPr>
                        <w:r>
                          <w:rPr>
                            <w:rFonts w:ascii="仿宋_GB2312" w:hAnsi="仿宋_GB2312" w:cs="仿宋_GB2312" w:eastAsia="仿宋_GB2312"/>
                            <w:sz w:val="20"/>
                          </w:rPr>
                          <w:t>复合传输线缆</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60" w:firstLine="12"/>
                          <w:jc w:val="both"/>
                        </w:pPr>
                        <w:r>
                          <w:rPr>
                            <w:rFonts w:ascii="仿宋_GB2312" w:hAnsi="仿宋_GB2312" w:cs="仿宋_GB2312" w:eastAsia="仿宋_GB2312"/>
                            <w:sz w:val="20"/>
                          </w:rPr>
                          <w:t>1</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60" w:firstLine="12"/>
                          <w:jc w:val="both"/>
                        </w:pPr>
                        <w:r>
                          <w:rPr>
                            <w:rFonts w:ascii="仿宋_GB2312" w:hAnsi="仿宋_GB2312" w:cs="仿宋_GB2312" w:eastAsia="仿宋_GB2312"/>
                            <w:sz w:val="20"/>
                          </w:rPr>
                          <w:t>盘</w:t>
                        </w:r>
                      </w:p>
                    </w:tc>
                  </w:tr>
                  <w:tr>
                    <w:tc>
                      <w:tcPr>
                        <w:tcW w:type="dxa" w:w="1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60" w:firstLine="12"/>
                          <w:jc w:val="both"/>
                        </w:pPr>
                        <w:r>
                          <w:rPr>
                            <w:rFonts w:ascii="仿宋_GB2312" w:hAnsi="仿宋_GB2312" w:cs="仿宋_GB2312" w:eastAsia="仿宋_GB2312"/>
                            <w:sz w:val="20"/>
                          </w:rPr>
                          <w:t>供电单元</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60" w:firstLine="12"/>
                          <w:jc w:val="both"/>
                        </w:pPr>
                        <w:r>
                          <w:rPr>
                            <w:rFonts w:ascii="仿宋_GB2312" w:hAnsi="仿宋_GB2312" w:cs="仿宋_GB2312" w:eastAsia="仿宋_GB2312"/>
                            <w:sz w:val="20"/>
                          </w:rPr>
                          <w:t>1</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60" w:firstLine="12"/>
                          <w:jc w:val="both"/>
                        </w:pPr>
                        <w:r>
                          <w:rPr>
                            <w:rFonts w:ascii="仿宋_GB2312" w:hAnsi="仿宋_GB2312" w:cs="仿宋_GB2312" w:eastAsia="仿宋_GB2312"/>
                            <w:sz w:val="20"/>
                          </w:rPr>
                          <w:t>套</w:t>
                        </w:r>
                      </w:p>
                    </w:tc>
                  </w:tr>
                </w:tbl>
                <w:p>
                  <w:pPr>
                    <w:pStyle w:val="null3"/>
                    <w:jc w:val="both"/>
                  </w:pPr>
                  <w:r>
                    <w:rPr>
                      <w:rFonts w:ascii="仿宋_GB2312" w:hAnsi="仿宋_GB2312" w:cs="仿宋_GB2312" w:eastAsia="仿宋_GB2312"/>
                      <w:sz w:val="20"/>
                    </w:rPr>
                    <w:t>设备采购清单及产品数量</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用料说明</w:t>
                  </w:r>
                  <w:r>
                    <w:rPr>
                      <w:rFonts w:ascii="仿宋_GB2312" w:hAnsi="仿宋_GB2312" w:cs="仿宋_GB2312" w:eastAsia="仿宋_GB2312"/>
                      <w:sz w:val="20"/>
                    </w:rPr>
                    <w:t>：</w:t>
                  </w:r>
                  <w:r>
                    <w:rPr>
                      <w:rFonts w:ascii="仿宋_GB2312" w:hAnsi="仿宋_GB2312" w:cs="仿宋_GB2312" w:eastAsia="仿宋_GB2312"/>
                      <w:sz w:val="20"/>
                    </w:rPr>
                    <w:t>所提供的设备配件用料和零部件均为</w:t>
                  </w:r>
                  <w:r>
                    <w:rPr>
                      <w:rFonts w:ascii="仿宋_GB2312" w:hAnsi="仿宋_GB2312" w:cs="仿宋_GB2312" w:eastAsia="仿宋_GB2312"/>
                      <w:sz w:val="20"/>
                    </w:rPr>
                    <w:t>100% 原厂正品。</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合同签订完成接采购人通知后30日内完成供货及安装工作，达到交付使用条件。</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西安理工大学旱区水工程生态环境全国重点实验室蓝田汤峪生态农业与高效用水试验站</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乙方按照合同规定期限内供货、调试完成，经甲方最终验收合格并签署《验收合格确认书》，向甲方开具全额合法有效的增值税专用发票后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 招标文件、投标文件及技术澄清文件（函））； （2）验收流程 ①到货初检（采购人、中标人共同参与）： 检查外包装完整性、防伪标识、运输损伤情况； 核对货物型号、数量、规格是否与合同一致； 检查随机文件（合格证、说明书、保修卡等）。 ②性能测试验收（关键指标实测） 连续运行1小时无故障； 关键参数与投标文件承诺值对比。 ③最终验收 签署《验收报告》，产品保修期自验收合格之日起算，由中标人提供产品保修文件。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包装标准：中标人提供产品及相关快递服务的包装要求，按照《商品包装政府采购需求标准（试行）》、《快递包装政府采购需求标准（试行）》执行，确保防潮、防震、防锈蚀； 运输方式：中标人自主选择，须购买全程运输保险，保证按期交付。不得断货，因断货造成的损失由中标人负责赔偿； 运输责任：运输由中标人负责，运杂费已包含在合同总价内。包括从货物供应地点运送至交付地点所含的运输费、装卸费、仓储费、保险费等； 存放与保管：货物到达采购人指定地点后，中标人应按有关技术规程和采购人要求进行存放和保管。</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1.质保期：设备质保期不低于 1年。质保期自甲方在货物质量验收合格之日起计算。质保期内出现任何非人为故意损坏的质量问题，由乙方包换或包退，并承担调换或退货的全部费用。采购人报修后三日内投标人必须响应，否则将依据有关法律、法规进行追偿； 2.产品保修期（三包期）：自验收合格之日起1年 3.产品保修期（三包期）内，修理、更换、退货要求 （1）中标人应按配置清单要求提供原装产品，除人为因素损坏外，对该产品实行三包（即包修、包退、包换），设备正常使用期间的耗材中标人需均按市场最优惠价格供应，且中标人维修所更换的配件和备品备件均为原设备厂家提供；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瑕疵责任：中标人提供产品应无任何瑕疵，符合国内相关标准。如在使用过程中本产品存在隐蔽瑕疵造成医疗事故而引发的纠纷，由中标人全额负责赔偿，并免费为采购人修复瑕疵或更新换代，期间产生的费用均由中标人承担。 4.采购标的的专用工具、备品备件、安装调试及配套工程、质量保证、售后服务等要求。 （1）备品备件 备品备件：随设备提供所需的密封胶圈10个，润滑脂1盒。 （2）调试要求 调试周期：连续30分钟无故障运行测试； 人员培训：提供相关操作人员培训资料。 （3）质量保证 货物要求：以采购人的要求为准，为采购人提供全新的货物（包括零部件）。 （4）售后服务 响应时限：在接到用户故障报告电话后，2 小时内响应， 24 小时内提出解决方案，必要时，维修服务工程师在72小时内到达现场。</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中标供应商未按合同约定的交货日期交货的，每逾期一日，向采购人支付逾期交付货物价款的1%的违约金，但不超过合同总金额的10%。中标供应商支付逾期交货违约金并不免除其交货的责任。 如中标供应商在政府采购合同规定的交货日期后10天内仍未能交货，则视为中标供应商不能交货，采购人有权解除政府采购合同，中标供应商除退还已收取的货款外，还应向采购人偿付政府采购合同总金额10%的违约金。</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为顺利推进政府采购电子化交易平台应用工作，供应商需要在线提交所有通过电子化交易平台实施的政府采购项目的投标文件。同时，中标人在领取中标通知书时需提交纸质版投标文件正本壹份、副本叁份。质版文件内容应与电子版文件内容保持一致。纸质版投标文件的正本和副本应采用粘贴方式左侧装订，不得采用活页夹的可随时拆换的方式装订，不得有零散页。应按档案要求必须编制目录，无少页、缺页的现象，并连续页码（汇编材料要求首封面开始算第1页，后面只要有字的都算一页，连续编辑页码，尾封面有字算页码，无字不算页码，并在书脊处清楚写明项目名称）。文件送达地点：西安市未央区太华北路甲字88号大明宫中央广场A座22层代理部； （2）以保函形式交纳投标保证金的，供应商应在投标截止时间前将保函扫描成清晰的PDF文件，发送至邮箱670920970@qq.com（邮件或保证金转账命名：项目编号），并将保函原件单独递交至代理机构；供应商应在投标文件中附保函复印件或扫描件。保函须由具有开具投标保函资格的单位开具；若供应商违约，开具保函单位承担连带责任。 （3）本项目兼投兼中。 （4）根据《国务院办公厅关于在政府采购中实施本国产品标准及相关政策的通知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本项目不允许进口产品进行投标，全部为国产产品，所以不进行价格折扣。 （5）根据《关于推动解决政府采购异常低价问题的通知》（财库〔2026〕2号）政府采购评审中出现下列情形之一的，评审委员会应当启动异常低价投标（响应）审查程序：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（6）因政府采购电子化交易平台受限，招标文件“3.4.4支付约定”以此描述为准： 采购包1：合同签订后5个工作日内，甲方向乙方预付合同总价的40%；设备运抵甲方指定地点并经甲方初步查验无误后7个工作日内，甲方向乙方支付合同总价的30%；设备安装调试完成，经甲方验收合格并签署《验收合格报告》后，乙方开具全额合法有效的增值税专用发票，甲方7个工作日内向乙方支付合同总价的30%。 采购包2：乙方按照合同规定期限内供货、调试完成，经甲方最终验收合格并签署《验收合格报告》后7个工作日内，向乙方支付全部合同款项。乙方应在甲方付款前，向甲方开具全额合法有效的增值税专用发票。 采购包3：合同签订后5个工作日内，甲方向乙方预付合同总价的40%；设备运抵甲方指定地点并经甲方初步查验无误后7个工作日内，甲方向乙方支付合同总价的30%；设备安装调试完成，经甲方验收合格并签署《验收合格报告》后，乙方开具全额合法有效的增值税专用发票，甲方7个工作日内向乙方支付合同总价的30%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复印件或扫描件加盖供应商单位公章）。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提供递交投标文件截止时间前一年内任意一个月的社会保障资金缴存单据或社保机构开具的社会保险参保缴费情况证明。依法不需要缴纳社会保障资金的供应商应提供相关文件证明。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提供递交投标文件截止时间前一年内已缴存任意一个月的依法缴纳税收的相关凭据，凭据应有税务机关或代收机关的公章或业务专用章。依法免税或无须缴纳税收的供应商，应提供相应证明文件。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在信用中国（www.creditchina.gov.cn）未被列入重大税收违法失信主体、在中国执行信息公开网（http：//zxgk.court.gov.cn/）未被列入失信被执行人及在中国政府采购网（www.ccgp.gov.cn）未被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资格证明文件中)；法定代表人授权他人参加投标的，须提供法定代表人授权委托书。投标文件中凡是需要法定代表人盖章之处，非法人单位的负责人均参照执行。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本采购包不接受联合体投标，不允许分包</w:t>
            </w:r>
          </w:p>
        </w:tc>
        <w:tc>
          <w:tcPr>
            <w:tcW w:type="dxa" w:w="3322"/>
          </w:tcPr>
          <w:p>
            <w:pPr>
              <w:pStyle w:val="null3"/>
            </w:pPr>
            <w:r>
              <w:rPr>
                <w:rFonts w:ascii="仿宋_GB2312" w:hAnsi="仿宋_GB2312" w:cs="仿宋_GB2312" w:eastAsia="仿宋_GB2312"/>
              </w:rPr>
              <w:t>供应商应提供《非联合体不分包投标声明》，视为独立投标，不分包。</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响应分项报价表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按招标文件要求加盖了供应商公章和有法定代表人或其委托代理人签字或加盖人名章。</w:t>
            </w:r>
          </w:p>
        </w:tc>
        <w:tc>
          <w:tcPr>
            <w:tcW w:type="dxa" w:w="1661"/>
          </w:tcPr>
          <w:p>
            <w:pPr>
              <w:pStyle w:val="null3"/>
            </w:pPr>
            <w:r>
              <w:rPr>
                <w:rFonts w:ascii="仿宋_GB2312" w:hAnsi="仿宋_GB2312" w:cs="仿宋_GB2312" w:eastAsia="仿宋_GB2312"/>
              </w:rPr>
              <w:t>偏离表 开标一览表 产品技术参数表 响应分项报价表 投标函 中小企业声明函 残疾人福利性单位声明函 商务应答表 供应商应提交的相关资格证明材料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 弄虚作假、相互串通的情形</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投标人的采购包投标报价高于最高限价的，其投标文件将按无效处理。</w:t>
            </w:r>
          </w:p>
        </w:tc>
        <w:tc>
          <w:tcPr>
            <w:tcW w:type="dxa" w:w="1661"/>
          </w:tcPr>
          <w:p>
            <w:pPr>
              <w:pStyle w:val="null3"/>
            </w:pPr>
            <w:r>
              <w:rPr>
                <w:rFonts w:ascii="仿宋_GB2312" w:hAnsi="仿宋_GB2312" w:cs="仿宋_GB2312" w:eastAsia="仿宋_GB2312"/>
              </w:rPr>
              <w:t>开标一览表 响应分项报价表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技术参数与性能指标响应情况打分，完全满足采购技术要求的，得满分；正偏离不加分；标记为“▲”为重要技术条款，每负偏离一项扣4分，普通参数（偏离表）负偏离一项扣1分，扣完为止。以上标记为“▲”的参数须提供相关技术指标证明材料予以佐证，提供的佐证材料如下：国家认可的省级及以上检测机构出具的检测报告，技术白皮书、官网截图等任意一种及产品实物图片（此项内容必须提供）。佐证资料至少提供两项及以上方可得分，仅提供一项或不提供均不得分。 注：投标人自行承担因材料提供不全导致的技术参数评审风险。</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1.评审内容 根据项目实际需求，提供完整详细的项目实施方案。内容包含①供货运输方案②安装验收方案③人员配备④应急预案。 2.评审标准： ①完整性：方案须全面，对评审内容中的各项要求有详细描述； ②可实施性：切合本项目实际情况，实施步骤清晰、合理； ③针对性：方案能够紧扣项目实际情况，内容科学合理。 3.赋分标准： ①供货运输方案：每完全满足一个评审标准得1分，满分3分； ②安装验收方案：每完全满足一个评审标准得1分，满分3分； ③人员配备：每完全满足一个评审标准得1分，满分3分； ④应急预案：每完全满足一个评审标准得1分，满分3分。 内容有缺陷扣0.5分，缺项或未提供得0分。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1.评审内容 根据项目实际需求提供售后服务方案。内容包含①售后服务内容及保障措施②售后服务承诺、响应时间及方式③货物合法来源渠道证明④备品备件方案（包括但不限于供应时间、安装更换方式）。 2.评审标准 ①完整性：方案须全面，对评审内容中的各项要求有详细描述； ②可实施性：切合本项目实际情况，实施步骤清晰、合理； ③针对性：方案能够紧扣项目实际情况，内容科学合理。 3.赋分标准： ①售后服务内容及保障措施：每完全满足一个评审标准得1分，满分3分； ②售后服务承诺、响应时间及方式：每完全满足一个评审标准得1分，满分3分； ③货物合法来源渠道证明：每完全满足一个评审标准得1分，满分3分； ④备品备件方案：每完全满足一个评审标准得1分，满分3分； 内容有缺陷扣0.5分，缺项或未提供得0分。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1.评审内容 根据投标人的培训服务方案，包括但不限于①培训方案②培训时间③培训内容④培训次数 2.评审标准： ①可实施性：切合本项目实际情况，方案全面、实施步骤清晰、计划合理； ②针对性：方案能够紧扣项目实际情况，内容科学合理； 3.赋分标准： ①培训方案：每完全满足一项评审标准得1分，满分2分； ②培训时间：每完全满足一项评审标准得1分，满分2分； ③培训内容：每完全满足一项评审标准得1分，满分2分； ④培训次数：每完全满足一项评审标准得1分，满分2分。 内容有缺陷扣0.5分，缺项或未提供得0分。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提供投标人2022年1月1日至今承担过类似项目业绩，以合同签订时间为准并加盖投标人公章，每提供一个业绩计2分，最高计6分。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w:t>
            </w:r>
          </w:p>
        </w:tc>
      </w:tr>
      <w:tr>
        <w:tc>
          <w:tcPr>
            <w:tcW w:type="dxa" w:w="831"/>
            <w:vMerge/>
          </w:tcPr>
          <w:p/>
        </w:tc>
        <w:tc>
          <w:tcPr>
            <w:tcW w:type="dxa" w:w="1661"/>
          </w:tcPr>
          <w:p>
            <w:pPr>
              <w:pStyle w:val="null3"/>
            </w:pPr>
            <w:r>
              <w:rPr>
                <w:rFonts w:ascii="仿宋_GB2312" w:hAnsi="仿宋_GB2312" w:cs="仿宋_GB2312" w:eastAsia="仿宋_GB2312"/>
              </w:rPr>
              <w:t>质保年限</w:t>
            </w:r>
          </w:p>
        </w:tc>
        <w:tc>
          <w:tcPr>
            <w:tcW w:type="dxa" w:w="2492"/>
          </w:tcPr>
          <w:p>
            <w:pPr>
              <w:pStyle w:val="null3"/>
            </w:pPr>
            <w:r>
              <w:rPr>
                <w:rFonts w:ascii="仿宋_GB2312" w:hAnsi="仿宋_GB2312" w:cs="仿宋_GB2312" w:eastAsia="仿宋_GB2312"/>
              </w:rPr>
              <w:t>货物质保年限满足采购文件要求的得1分，每增加一年质保年限加1分，本项最高不超过2分.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满足招标文件要求且投标价格最低的投标报价为评标基准价，其价格分为满分。其他供应商的价格分统一按照下列公式计算：投标报价得分=（评标基准价/投标报价）×价格权值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响应分项报价表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详见附件：响应分项报价表</w:t>
      </w:r>
    </w:p>
    <w:p>
      <w:pPr>
        <w:pStyle w:val="null3"/>
        <w:ind w:firstLine="960"/>
      </w:pPr>
      <w:r>
        <w:rPr>
          <w:rFonts w:ascii="仿宋_GB2312" w:hAnsi="仿宋_GB2312" w:cs="仿宋_GB2312" w:eastAsia="仿宋_GB2312"/>
        </w:rPr>
        <w:t>详见附件：偏离表</w:t>
      </w:r>
    </w:p>
    <w:p>
      <w:pPr>
        <w:pStyle w:val="null3"/>
        <w:ind w:firstLine="960"/>
      </w:pPr>
      <w:r>
        <w:rPr>
          <w:rFonts w:ascii="仿宋_GB2312" w:hAnsi="仿宋_GB2312" w:cs="仿宋_GB2312" w:eastAsia="仿宋_GB2312"/>
        </w:rPr>
        <w:t>详见附件：响应方案说明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