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版本号：HRC-ZBDL-2026-00405-120260417001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云帆体育馆三层体操器械购置安装项目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HRC-ZBDL-2026-00405-1</w:t>
      </w:r>
      <w:r>
        <w:br/>
      </w:r>
      <w:r>
        <w:br/>
      </w:r>
      <w:r>
        <w:br/>
      </w:r>
    </w:p>
    <w:p>
      <w:pPr>
        <w:pStyle w:val="null3"/>
        <w:jc w:val="center"/>
        <w:outlineLvl w:val="2"/>
      </w:pPr>
      <w:r>
        <w:rPr>
          <w:rFonts w:ascii="仿宋_GB2312" w:hAnsi="仿宋_GB2312" w:cs="仿宋_GB2312" w:eastAsia="仿宋_GB2312"/>
          <w:sz w:val="28"/>
          <w:b/>
        </w:rPr>
        <w:t>渭南师范学院</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渭南师范学院</w:t>
      </w:r>
      <w:r>
        <w:rPr>
          <w:rFonts w:ascii="仿宋_GB2312" w:hAnsi="仿宋_GB2312" w:cs="仿宋_GB2312" w:eastAsia="仿宋_GB2312"/>
        </w:rPr>
        <w:t>委托，拟对</w:t>
      </w:r>
      <w:r>
        <w:rPr>
          <w:rFonts w:ascii="仿宋_GB2312" w:hAnsi="仿宋_GB2312" w:cs="仿宋_GB2312" w:eastAsia="仿宋_GB2312"/>
        </w:rPr>
        <w:t>云帆体育馆三层体操器械购置安装项目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HRC-ZBDL-2026-00405-1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云帆体育馆三层体操器械购置安装项目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云帆体育馆三层体操器械购置安装项目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1、法定代表人授权委托书：法定代表人授权委托书附法定代表人身份证复印件及被授权人身份证复印件，法定代表人直接参加磋商的只需提供法定代表人身份证原件。</w:t>
      </w:r>
    </w:p>
    <w:p>
      <w:pPr>
        <w:pStyle w:val="null3"/>
      </w:pPr>
      <w:r>
        <w:rPr>
          <w:rFonts w:ascii="仿宋_GB2312" w:hAnsi="仿宋_GB2312" w:cs="仿宋_GB2312" w:eastAsia="仿宋_GB2312"/>
        </w:rPr>
        <w:t>2、供应商信用要求：供应商不得为“信用中国”网站（https://www.creditchina.gov.cn/）中列入失信被执行人、重大税收违法失信主体名单和政府采购严重违法失信行为记录名单的供应商，不得为中国政府采购网（https://www.ccgp.gov.cn/）政府采购严重违法失信行为记录名单中被财政部门禁止参加政府采购活动的供应商。</w:t>
      </w:r>
    </w:p>
    <w:p>
      <w:pPr>
        <w:pStyle w:val="null3"/>
      </w:pPr>
      <w:r>
        <w:rPr>
          <w:rFonts w:ascii="仿宋_GB2312" w:hAnsi="仿宋_GB2312" w:cs="仿宋_GB2312" w:eastAsia="仿宋_GB2312"/>
        </w:rPr>
        <w:t>3、供应商控股管理关系：单位负责人为同一人或者存在直接控股、管理关系的不同供应商，不得参加同一合同项下的政府采购活动（提供书面声明）。</w:t>
      </w:r>
    </w:p>
    <w:p>
      <w:pPr>
        <w:pStyle w:val="null3"/>
      </w:pPr>
      <w:r>
        <w:rPr>
          <w:rFonts w:ascii="仿宋_GB2312" w:hAnsi="仿宋_GB2312" w:cs="仿宋_GB2312" w:eastAsia="仿宋_GB2312"/>
        </w:rPr>
        <w:t>4、联合体磋商：本项目不接受联合体磋商。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13892592853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张静、陈定彩、王径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15229093502/029-85393806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依据国家计委印发的《招标代理服务收费管理暂行办法》（计价格[2002]1980号）和国家发展和改革委员会印发的《国家发展改革委关于降低部分建设项目收费标准规范收费行为等有关问题的通知》（发改价格[2011]534号）的收费标准计取,以成交价为基数取费。 2、中标人在领取中标通知书前，须向采购代理机构一次性支付招标代理服务费。 3、代理服务费缴纳账户信息： 户名：华睿诚项目管理有限公司 开户行名称：西安银行小寨东路支行账号：816011580000101224</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渭南师范学院</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渭南师范学院</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供应商提交验收申请及全套验收资料；②学校组建验收小组，明确验收分工及标准；③验收小组开展资料审查、现场实物查验、功能实操测试；④记录验收问题，出具整改通知书，供应商限期整改；⑤整改完成后进行复检，确认验收结果；⑥签署验收报告，合格则办理入库及付款手续，不合格则启动退货/换货流程；⑦验收资料统一归档，纳入学校采购及固定资产档案。</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联系人：王径</w:t>
      </w:r>
    </w:p>
    <w:p>
      <w:pPr>
        <w:pStyle w:val="null3"/>
      </w:pPr>
      <w:r>
        <w:rPr>
          <w:rFonts w:ascii="仿宋_GB2312" w:hAnsi="仿宋_GB2312" w:cs="仿宋_GB2312" w:eastAsia="仿宋_GB2312"/>
        </w:rPr>
        <w:t>联系电话：15229093502</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云帆体育馆三层体操器械购置安装项目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标的名称：云帆体育馆三层体操器械购置安装项目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b/>
                <w:color w:val="000000"/>
              </w:rPr>
              <w:t>一、商务要求</w:t>
            </w:r>
          </w:p>
          <w:p>
            <w:pPr>
              <w:pStyle w:val="null3"/>
              <w:ind w:firstLine="361"/>
              <w:jc w:val="left"/>
            </w:pPr>
            <w:r>
              <w:rPr>
                <w:rFonts w:ascii="仿宋_GB2312" w:hAnsi="仿宋_GB2312" w:cs="仿宋_GB2312" w:eastAsia="仿宋_GB2312"/>
                <w:sz w:val="18"/>
                <w:b/>
                <w:color w:val="000000"/>
              </w:rPr>
              <w:t>1.项目概况</w:t>
            </w:r>
            <w:r>
              <w:rPr>
                <w:rFonts w:ascii="仿宋_GB2312" w:hAnsi="仿宋_GB2312" w:cs="仿宋_GB2312" w:eastAsia="仿宋_GB2312"/>
                <w:sz w:val="18"/>
                <w:color w:val="000000"/>
              </w:rPr>
              <w:t>：</w:t>
            </w:r>
          </w:p>
          <w:p>
            <w:pPr>
              <w:pStyle w:val="null3"/>
              <w:ind w:firstLine="360"/>
              <w:jc w:val="left"/>
            </w:pPr>
            <w:r>
              <w:rPr>
                <w:rFonts w:ascii="仿宋_GB2312" w:hAnsi="仿宋_GB2312" w:cs="仿宋_GB2312" w:eastAsia="仿宋_GB2312"/>
                <w:sz w:val="18"/>
                <w:color w:val="000000"/>
              </w:rPr>
              <w:t>学校现有的体操馆设施简陋、功能缺失，无法更好地满足体育专业学生的教育教学，加之该体操馆学校将调整其使用功能，基于此，学校为满足体育学院体操、武术、跆拳道等多项体育教学与训练需求，计划对云帆体育馆三层现有场地进行改造升级，打造功能齐全、安全规范的综合体操房。场地现状为木地板铺设，具备基础改造条件，本次改造将重点解决专业器材安装配套问题，提升场地综合使用效能。</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1）优化场地布局，实现体操、武术、跆拳道、羽毛球等多项目兼容使用，更好地服务体育专业教育教学；</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2）规范安装专业体操器材，满足教学与训练的专业标准；</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3）科学设置预埋件，保障单杠、鞍马、跳马等器材稳固安全运行；</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4）最大限度减少对现有场地的破坏，实现施工方案最优化。</w:t>
            </w:r>
          </w:p>
          <w:p>
            <w:pPr>
              <w:pStyle w:val="null3"/>
              <w:ind w:firstLine="360"/>
              <w:jc w:val="left"/>
            </w:pPr>
            <w:r>
              <w:rPr>
                <w:rFonts w:ascii="仿宋_GB2312" w:hAnsi="仿宋_GB2312" w:cs="仿宋_GB2312" w:eastAsia="仿宋_GB2312"/>
                <w:sz w:val="18"/>
                <w:color w:val="000000"/>
              </w:rPr>
              <w:t>体操馆改造项目内容</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1）场地功能规划：结合场地尺寸（长47米，宽23.6米，局部宽25.8米），划分体操核心训练区、防护缓冲区、辅助训练区、多元运动区及配套区域；</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2）器材采购安装：采购单杠、双杠、鞍马、跳马等15类专业体育器材，总计38套，均选用相关知名品牌，确保符合专业标准；</w:t>
            </w:r>
          </w:p>
          <w:p>
            <w:pPr>
              <w:pStyle w:val="null3"/>
              <w:ind w:firstLine="360"/>
              <w:jc w:val="left"/>
            </w:pPr>
            <w:r>
              <w:rPr>
                <w:rFonts w:ascii="仿宋_GB2312" w:hAnsi="仿宋_GB2312" w:cs="仿宋_GB2312" w:eastAsia="仿宋_GB2312"/>
                <w:sz w:val="18"/>
                <w:color w:val="000000"/>
              </w:rPr>
              <w:t>体操馆改造项目效果</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1）建成功能齐全、安全规范的综合体操房，满足体育专业多项目教学与训练需求；</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2）器材安装稳固、防护设施完备，保障师生训练安全；</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3）场地利用率显著提升，实现“一馆多用”，为教学质量提升与学生技能培养提供有力支撑。</w:t>
            </w:r>
          </w:p>
          <w:p>
            <w:pPr>
              <w:pStyle w:val="null3"/>
              <w:ind w:firstLine="361"/>
              <w:jc w:val="left"/>
            </w:pPr>
            <w:r>
              <w:rPr>
                <w:rFonts w:ascii="仿宋_GB2312" w:hAnsi="仿宋_GB2312" w:cs="仿宋_GB2312" w:eastAsia="仿宋_GB2312"/>
                <w:sz w:val="18"/>
                <w:b/>
                <w:color w:val="000000"/>
              </w:rPr>
              <w:t>2.工期及编制依据：</w:t>
            </w:r>
          </w:p>
          <w:p>
            <w:pPr>
              <w:pStyle w:val="null3"/>
              <w:ind w:firstLine="360"/>
              <w:jc w:val="left"/>
            </w:pPr>
            <w:r>
              <w:rPr>
                <w:rFonts w:ascii="仿宋_GB2312" w:hAnsi="仿宋_GB2312" w:cs="仿宋_GB2312" w:eastAsia="仿宋_GB2312"/>
                <w:sz w:val="18"/>
                <w:color w:val="000000"/>
              </w:rPr>
              <w:t>合同签订后</w:t>
            </w:r>
            <w:r>
              <w:rPr>
                <w:rFonts w:ascii="仿宋_GB2312" w:hAnsi="仿宋_GB2312" w:cs="仿宋_GB2312" w:eastAsia="仿宋_GB2312"/>
                <w:sz w:val="18"/>
                <w:color w:val="000000"/>
              </w:rPr>
              <w:t>10日历天完成安装调试。</w:t>
            </w:r>
          </w:p>
          <w:p>
            <w:pPr>
              <w:pStyle w:val="null3"/>
              <w:ind w:firstLine="361"/>
              <w:jc w:val="left"/>
            </w:pPr>
            <w:r>
              <w:rPr>
                <w:rFonts w:ascii="仿宋_GB2312" w:hAnsi="仿宋_GB2312" w:cs="仿宋_GB2312" w:eastAsia="仿宋_GB2312"/>
                <w:sz w:val="18"/>
                <w:b/>
                <w:color w:val="000000"/>
              </w:rPr>
              <w:t>3.付款方式要求：</w:t>
            </w:r>
          </w:p>
          <w:p>
            <w:pPr>
              <w:pStyle w:val="null3"/>
              <w:ind w:firstLine="360"/>
              <w:jc w:val="left"/>
            </w:pPr>
            <w:r>
              <w:rPr>
                <w:rFonts w:ascii="仿宋_GB2312" w:hAnsi="仿宋_GB2312" w:cs="仿宋_GB2312" w:eastAsia="仿宋_GB2312"/>
                <w:sz w:val="18"/>
                <w:color w:val="000000"/>
              </w:rPr>
              <w:t>本项目竣工验收合格后、工程决算完成并经发包人审计部门审定后，承包方开具本工程发票，发包人一次性支付全部款项。</w:t>
            </w:r>
          </w:p>
          <w:p>
            <w:pPr>
              <w:pStyle w:val="null3"/>
              <w:ind w:firstLine="361"/>
              <w:jc w:val="left"/>
            </w:pPr>
            <w:r>
              <w:rPr>
                <w:rFonts w:ascii="仿宋_GB2312" w:hAnsi="仿宋_GB2312" w:cs="仿宋_GB2312" w:eastAsia="仿宋_GB2312"/>
                <w:sz w:val="18"/>
                <w:b/>
                <w:color w:val="000000"/>
              </w:rPr>
              <w:t>4.质量标准：</w:t>
            </w:r>
            <w:r>
              <w:rPr>
                <w:rFonts w:ascii="仿宋_GB2312" w:hAnsi="仿宋_GB2312" w:cs="仿宋_GB2312" w:eastAsia="仿宋_GB2312"/>
                <w:sz w:val="18"/>
                <w:color w:val="000000"/>
              </w:rPr>
              <w:t>达到国家验收质量合格标准。</w:t>
            </w:r>
          </w:p>
          <w:p>
            <w:pPr>
              <w:pStyle w:val="null3"/>
              <w:ind w:firstLine="361"/>
              <w:jc w:val="left"/>
            </w:pPr>
            <w:r>
              <w:rPr>
                <w:rFonts w:ascii="仿宋_GB2312" w:hAnsi="仿宋_GB2312" w:cs="仿宋_GB2312" w:eastAsia="仿宋_GB2312"/>
                <w:sz w:val="18"/>
                <w:b/>
                <w:color w:val="000000"/>
              </w:rPr>
              <w:t>5.质保期及保修要求：</w:t>
            </w:r>
          </w:p>
          <w:p>
            <w:pPr>
              <w:pStyle w:val="null3"/>
              <w:ind w:firstLine="361"/>
              <w:jc w:val="left"/>
            </w:pPr>
            <w:r>
              <w:rPr>
                <w:rFonts w:ascii="仿宋_GB2312" w:hAnsi="仿宋_GB2312" w:cs="仿宋_GB2312" w:eastAsia="仿宋_GB2312"/>
                <w:sz w:val="18"/>
                <w:b/>
                <w:color w:val="000000"/>
              </w:rPr>
              <w:t>（</w:t>
            </w:r>
            <w:r>
              <w:rPr>
                <w:rFonts w:ascii="仿宋_GB2312" w:hAnsi="仿宋_GB2312" w:cs="仿宋_GB2312" w:eastAsia="仿宋_GB2312"/>
                <w:sz w:val="18"/>
                <w:b/>
                <w:color w:val="000000"/>
              </w:rPr>
              <w:t>1）质保期：</w:t>
            </w:r>
            <w:r>
              <w:rPr>
                <w:rFonts w:ascii="仿宋_GB2312" w:hAnsi="仿宋_GB2312" w:cs="仿宋_GB2312" w:eastAsia="仿宋_GB2312"/>
                <w:sz w:val="18"/>
                <w:color w:val="000000"/>
              </w:rPr>
              <w:t>本项目竣工验收合格通过之日起</w:t>
            </w:r>
            <w:r>
              <w:rPr>
                <w:rFonts w:ascii="仿宋_GB2312" w:hAnsi="仿宋_GB2312" w:cs="仿宋_GB2312" w:eastAsia="仿宋_GB2312"/>
                <w:sz w:val="18"/>
                <w:color w:val="000000"/>
              </w:rPr>
              <w:t>2年</w:t>
            </w:r>
            <w:r>
              <w:rPr>
                <w:rFonts w:ascii="仿宋_GB2312" w:hAnsi="仿宋_GB2312" w:cs="仿宋_GB2312" w:eastAsia="仿宋_GB2312"/>
                <w:sz w:val="18"/>
                <w:b/>
                <w:color w:val="000000"/>
              </w:rPr>
              <w:t>；</w:t>
            </w:r>
          </w:p>
          <w:p>
            <w:pPr>
              <w:pStyle w:val="null3"/>
              <w:ind w:firstLine="361"/>
              <w:jc w:val="left"/>
            </w:pPr>
            <w:r>
              <w:rPr>
                <w:rFonts w:ascii="仿宋_GB2312" w:hAnsi="仿宋_GB2312" w:cs="仿宋_GB2312" w:eastAsia="仿宋_GB2312"/>
                <w:sz w:val="18"/>
                <w:b/>
                <w:color w:val="000000"/>
              </w:rPr>
              <w:t>（</w:t>
            </w:r>
            <w:r>
              <w:rPr>
                <w:rFonts w:ascii="仿宋_GB2312" w:hAnsi="仿宋_GB2312" w:cs="仿宋_GB2312" w:eastAsia="仿宋_GB2312"/>
                <w:sz w:val="18"/>
                <w:b/>
                <w:color w:val="000000"/>
              </w:rPr>
              <w:t>2）保修要求：</w:t>
            </w:r>
            <w:r>
              <w:rPr>
                <w:rFonts w:ascii="仿宋_GB2312" w:hAnsi="仿宋_GB2312" w:cs="仿宋_GB2312" w:eastAsia="仿宋_GB2312"/>
                <w:sz w:val="18"/>
                <w:color w:val="000000"/>
              </w:rPr>
              <w:t>属于保修范围和内容的项目，承包人应在接到维修通知后，</w:t>
            </w:r>
            <w:r>
              <w:rPr>
                <w:rFonts w:ascii="仿宋_GB2312" w:hAnsi="仿宋_GB2312" w:cs="仿宋_GB2312" w:eastAsia="仿宋_GB2312"/>
                <w:sz w:val="18"/>
                <w:color w:val="000000"/>
              </w:rPr>
              <w:t>1天内派人维修。发生紧急抢修事故，承包人应在接到事故通知后5小时内到达事故现场并于6小时内完成应急维修。</w:t>
            </w:r>
          </w:p>
          <w:p>
            <w:pPr>
              <w:pStyle w:val="null3"/>
              <w:ind w:firstLine="361"/>
              <w:jc w:val="left"/>
            </w:pPr>
            <w:r>
              <w:rPr>
                <w:rFonts w:ascii="仿宋_GB2312" w:hAnsi="仿宋_GB2312" w:cs="仿宋_GB2312" w:eastAsia="仿宋_GB2312"/>
                <w:sz w:val="18"/>
                <w:b/>
                <w:color w:val="000000"/>
              </w:rPr>
              <w:t>6、其他要求（安装环境、配套工作和绿色、节能、环保要求及其他需说明的情况）</w:t>
            </w:r>
          </w:p>
          <w:p>
            <w:pPr>
              <w:pStyle w:val="null3"/>
              <w:ind w:firstLine="361"/>
              <w:jc w:val="left"/>
            </w:pPr>
            <w:r>
              <w:rPr>
                <w:rFonts w:ascii="仿宋_GB2312" w:hAnsi="仿宋_GB2312" w:cs="仿宋_GB2312" w:eastAsia="仿宋_GB2312"/>
                <w:b/>
              </w:rPr>
              <w:t xml:space="preserve">  </w:t>
            </w:r>
            <w:r>
              <w:rPr>
                <w:rFonts w:ascii="仿宋_GB2312" w:hAnsi="仿宋_GB2312" w:cs="仿宋_GB2312" w:eastAsia="仿宋_GB2312"/>
                <w:sz w:val="18"/>
                <w:b/>
                <w:color w:val="000000"/>
              </w:rPr>
              <w:t>无</w:t>
            </w:r>
            <w:r>
              <w:rPr>
                <w:rFonts w:ascii="仿宋_GB2312" w:hAnsi="仿宋_GB2312" w:cs="仿宋_GB2312" w:eastAsia="仿宋_GB2312"/>
                <w:b/>
              </w:rPr>
              <w:t xml:space="preserve">   </w:t>
            </w:r>
          </w:p>
          <w:p>
            <w:pPr>
              <w:pStyle w:val="null3"/>
              <w:ind w:firstLine="361"/>
              <w:jc w:val="left"/>
            </w:pPr>
            <w:r>
              <w:rPr>
                <w:rFonts w:ascii="仿宋_GB2312" w:hAnsi="仿宋_GB2312" w:cs="仿宋_GB2312" w:eastAsia="仿宋_GB2312"/>
                <w:sz w:val="18"/>
                <w:b/>
                <w:color w:val="000000"/>
              </w:rPr>
              <w:t>7、履约验收标准：</w:t>
            </w:r>
          </w:p>
          <w:p>
            <w:pPr>
              <w:pStyle w:val="null3"/>
              <w:ind w:firstLine="360"/>
              <w:jc w:val="left"/>
            </w:pPr>
            <w:r>
              <w:rPr>
                <w:rFonts w:ascii="仿宋_GB2312" w:hAnsi="仿宋_GB2312" w:cs="仿宋_GB2312" w:eastAsia="仿宋_GB2312"/>
                <w:sz w:val="18"/>
                <w:color w:val="000000"/>
              </w:rPr>
              <w:t>（一）验收方法</w:t>
            </w:r>
          </w:p>
          <w:p>
            <w:pPr>
              <w:pStyle w:val="null3"/>
              <w:ind w:firstLine="360"/>
              <w:jc w:val="left"/>
            </w:pPr>
            <w:r>
              <w:rPr>
                <w:rFonts w:ascii="仿宋_GB2312" w:hAnsi="仿宋_GB2312" w:cs="仿宋_GB2312" w:eastAsia="仿宋_GB2312"/>
                <w:sz w:val="18"/>
                <w:color w:val="000000"/>
              </w:rPr>
              <w:t>采用资料查验</w:t>
            </w:r>
            <w:r>
              <w:rPr>
                <w:rFonts w:ascii="仿宋_GB2312" w:hAnsi="仿宋_GB2312" w:cs="仿宋_GB2312" w:eastAsia="仿宋_GB2312"/>
                <w:sz w:val="18"/>
                <w:color w:val="000000"/>
              </w:rPr>
              <w:t>+数量清点+外观核查+实测实量+功能试用+抽样检测相结合的方式，大额及批量体育器材按10%—20%比例抽样检测，小型器材逐件查验。</w:t>
            </w:r>
          </w:p>
          <w:p>
            <w:pPr>
              <w:pStyle w:val="null3"/>
              <w:ind w:firstLine="360"/>
              <w:jc w:val="left"/>
            </w:pPr>
            <w:r>
              <w:rPr>
                <w:rFonts w:ascii="仿宋_GB2312" w:hAnsi="仿宋_GB2312" w:cs="仿宋_GB2312" w:eastAsia="仿宋_GB2312"/>
                <w:sz w:val="18"/>
                <w:color w:val="000000"/>
              </w:rPr>
              <w:t>（二）验收阶段</w:t>
            </w:r>
          </w:p>
          <w:p>
            <w:pPr>
              <w:pStyle w:val="null3"/>
              <w:ind w:firstLine="360"/>
              <w:jc w:val="left"/>
            </w:pPr>
            <w:r>
              <w:rPr>
                <w:rFonts w:ascii="仿宋_GB2312" w:hAnsi="仿宋_GB2312" w:cs="仿宋_GB2312" w:eastAsia="仿宋_GB2312"/>
                <w:sz w:val="18"/>
                <w:color w:val="000000"/>
              </w:rPr>
              <w:t>到货初验：供应商完成供货后，验收小组核对器材包装、数量、型号、配件，确认无破损、缺漏；</w:t>
            </w:r>
          </w:p>
          <w:p>
            <w:pPr>
              <w:pStyle w:val="null3"/>
              <w:ind w:firstLine="360"/>
              <w:jc w:val="left"/>
            </w:pPr>
            <w:r>
              <w:rPr>
                <w:rFonts w:ascii="仿宋_GB2312" w:hAnsi="仿宋_GB2312" w:cs="仿宋_GB2312" w:eastAsia="仿宋_GB2312"/>
                <w:sz w:val="18"/>
                <w:color w:val="000000"/>
              </w:rPr>
              <w:t>安装调试验收：供应商完成器材安装调试后，验收小组检查安装牢固度、位置规范性、运行稳定性；</w:t>
            </w:r>
          </w:p>
          <w:p>
            <w:pPr>
              <w:pStyle w:val="null3"/>
              <w:ind w:firstLine="360"/>
              <w:jc w:val="left"/>
            </w:pPr>
            <w:r>
              <w:rPr>
                <w:rFonts w:ascii="仿宋_GB2312" w:hAnsi="仿宋_GB2312" w:cs="仿宋_GB2312" w:eastAsia="仿宋_GB2312"/>
                <w:sz w:val="18"/>
                <w:color w:val="000000"/>
              </w:rPr>
              <w:t>最终履约验收：综合资料、实物、功能、安全等全部内容，完成全面验收，出具最终结果。</w:t>
            </w:r>
          </w:p>
          <w:p>
            <w:pPr>
              <w:pStyle w:val="null3"/>
              <w:ind w:firstLine="360"/>
              <w:jc w:val="left"/>
            </w:pPr>
            <w:r>
              <w:rPr>
                <w:rFonts w:ascii="仿宋_GB2312" w:hAnsi="仿宋_GB2312" w:cs="仿宋_GB2312" w:eastAsia="仿宋_GB2312"/>
                <w:sz w:val="18"/>
                <w:color w:val="000000"/>
              </w:rPr>
              <w:t>（三）验收程序</w:t>
            </w:r>
          </w:p>
          <w:p>
            <w:pPr>
              <w:pStyle w:val="null3"/>
              <w:ind w:firstLine="360"/>
              <w:jc w:val="left"/>
            </w:pPr>
            <w:r>
              <w:rPr>
                <w:rFonts w:ascii="仿宋_GB2312" w:hAnsi="仿宋_GB2312" w:cs="仿宋_GB2312" w:eastAsia="仿宋_GB2312"/>
                <w:sz w:val="18"/>
                <w:color w:val="000000"/>
              </w:rPr>
              <w:t>供应商提交验收申请及全套验收资料；</w:t>
            </w:r>
          </w:p>
          <w:p>
            <w:pPr>
              <w:pStyle w:val="null3"/>
              <w:ind w:firstLine="360"/>
              <w:jc w:val="left"/>
            </w:pPr>
            <w:r>
              <w:rPr>
                <w:rFonts w:ascii="仿宋_GB2312" w:hAnsi="仿宋_GB2312" w:cs="仿宋_GB2312" w:eastAsia="仿宋_GB2312"/>
                <w:sz w:val="18"/>
                <w:color w:val="000000"/>
              </w:rPr>
              <w:t>学校组建验收小组，明确验收分工及标准；</w:t>
            </w:r>
          </w:p>
          <w:p>
            <w:pPr>
              <w:pStyle w:val="null3"/>
              <w:ind w:firstLine="360"/>
              <w:jc w:val="left"/>
            </w:pPr>
            <w:r>
              <w:rPr>
                <w:rFonts w:ascii="仿宋_GB2312" w:hAnsi="仿宋_GB2312" w:cs="仿宋_GB2312" w:eastAsia="仿宋_GB2312"/>
                <w:sz w:val="18"/>
                <w:color w:val="000000"/>
              </w:rPr>
              <w:t>验收小组开展资料审查、现场实物查验、功能实操测试；</w:t>
            </w:r>
          </w:p>
          <w:p>
            <w:pPr>
              <w:pStyle w:val="null3"/>
              <w:ind w:firstLine="360"/>
              <w:jc w:val="left"/>
            </w:pPr>
            <w:r>
              <w:rPr>
                <w:rFonts w:ascii="仿宋_GB2312" w:hAnsi="仿宋_GB2312" w:cs="仿宋_GB2312" w:eastAsia="仿宋_GB2312"/>
                <w:sz w:val="18"/>
                <w:color w:val="000000"/>
              </w:rPr>
              <w:t>记录验收问题，出具整改通知书，供应商限期整改；</w:t>
            </w:r>
          </w:p>
          <w:p>
            <w:pPr>
              <w:pStyle w:val="null3"/>
              <w:ind w:firstLine="360"/>
              <w:jc w:val="left"/>
            </w:pPr>
            <w:r>
              <w:rPr>
                <w:rFonts w:ascii="仿宋_GB2312" w:hAnsi="仿宋_GB2312" w:cs="仿宋_GB2312" w:eastAsia="仿宋_GB2312"/>
                <w:sz w:val="18"/>
                <w:color w:val="000000"/>
              </w:rPr>
              <w:t>整改完成后进行复检，确认验收结果；</w:t>
            </w:r>
          </w:p>
          <w:p>
            <w:pPr>
              <w:pStyle w:val="null3"/>
              <w:ind w:firstLine="360"/>
              <w:jc w:val="left"/>
            </w:pPr>
            <w:r>
              <w:rPr>
                <w:rFonts w:ascii="仿宋_GB2312" w:hAnsi="仿宋_GB2312" w:cs="仿宋_GB2312" w:eastAsia="仿宋_GB2312"/>
                <w:sz w:val="18"/>
                <w:color w:val="000000"/>
              </w:rPr>
              <w:t>签署验收报告，合格则办理入库及付款手续，不合格则启动退货</w:t>
            </w:r>
            <w:r>
              <w:rPr>
                <w:rFonts w:ascii="仿宋_GB2312" w:hAnsi="仿宋_GB2312" w:cs="仿宋_GB2312" w:eastAsia="仿宋_GB2312"/>
                <w:sz w:val="18"/>
                <w:color w:val="000000"/>
              </w:rPr>
              <w:t>/换货流程；</w:t>
            </w:r>
          </w:p>
          <w:p>
            <w:pPr>
              <w:pStyle w:val="null3"/>
              <w:ind w:firstLine="360"/>
              <w:jc w:val="left"/>
            </w:pPr>
            <w:r>
              <w:rPr>
                <w:rFonts w:ascii="仿宋_GB2312" w:hAnsi="仿宋_GB2312" w:cs="仿宋_GB2312" w:eastAsia="仿宋_GB2312"/>
                <w:sz w:val="18"/>
                <w:color w:val="000000"/>
              </w:rPr>
              <w:t>验收资料统一归档，纳入学校采购及固定资产档案。</w:t>
            </w:r>
          </w:p>
          <w:p>
            <w:pPr>
              <w:pStyle w:val="null3"/>
              <w:jc w:val="left"/>
            </w:pPr>
            <w:r>
              <w:rPr>
                <w:rFonts w:ascii="仿宋_GB2312" w:hAnsi="仿宋_GB2312" w:cs="仿宋_GB2312" w:eastAsia="仿宋_GB2312"/>
                <w:sz w:val="20"/>
                <w:b/>
                <w:color w:val="000000"/>
              </w:rPr>
              <w:t>二、技术要求</w:t>
            </w:r>
          </w:p>
          <w:p>
            <w:pPr>
              <w:pStyle w:val="null3"/>
              <w:ind w:firstLine="361"/>
              <w:jc w:val="left"/>
            </w:pPr>
            <w:r>
              <w:rPr>
                <w:rFonts w:ascii="仿宋_GB2312" w:hAnsi="仿宋_GB2312" w:cs="仿宋_GB2312" w:eastAsia="仿宋_GB2312"/>
                <w:sz w:val="18"/>
                <w:b/>
                <w:color w:val="000000"/>
              </w:rPr>
              <w:t>1.</w:t>
            </w:r>
            <w:r>
              <w:rPr>
                <w:rFonts w:ascii="仿宋_GB2312" w:hAnsi="仿宋_GB2312" w:cs="仿宋_GB2312" w:eastAsia="仿宋_GB2312"/>
              </w:rPr>
              <w:t xml:space="preserve"> </w:t>
            </w:r>
            <w:r>
              <w:rPr>
                <w:rFonts w:ascii="仿宋_GB2312" w:hAnsi="仿宋_GB2312" w:cs="仿宋_GB2312" w:eastAsia="仿宋_GB2312"/>
                <w:sz w:val="18"/>
                <w:b/>
                <w:color w:val="000000"/>
              </w:rPr>
              <w:t>项目概述：</w:t>
            </w:r>
          </w:p>
          <w:p>
            <w:pPr>
              <w:pStyle w:val="null3"/>
              <w:ind w:firstLine="360"/>
              <w:jc w:val="left"/>
            </w:pPr>
            <w:r>
              <w:rPr>
                <w:rFonts w:ascii="仿宋_GB2312" w:hAnsi="仿宋_GB2312" w:cs="仿宋_GB2312" w:eastAsia="仿宋_GB2312"/>
                <w:sz w:val="18"/>
                <w:color w:val="000000"/>
              </w:rPr>
              <w:t>学校现有的体操馆设施简陋、功能缺失，无法更好地满足体育专业学生的教育教学，加之该体操馆学校将调整其使用功能，基于此，学校为满足体育学院体操、武术、跆拳道等多项体育教学与训练需求，计划对云帆体育馆三层现有场地进行改造升级，打造功能齐全、安全规范的综合体操房。场地现状为木地板铺设，具备基础改造条件，本次改造将重点解决专业器材安装配套问题，提升场地综合使用效能。</w:t>
            </w:r>
          </w:p>
          <w:p>
            <w:pPr>
              <w:pStyle w:val="null3"/>
              <w:ind w:firstLine="361"/>
              <w:jc w:val="left"/>
            </w:pPr>
            <w:r>
              <w:rPr>
                <w:rFonts w:ascii="仿宋_GB2312" w:hAnsi="仿宋_GB2312" w:cs="仿宋_GB2312" w:eastAsia="仿宋_GB2312"/>
                <w:sz w:val="18"/>
                <w:b/>
                <w:color w:val="000000"/>
              </w:rPr>
              <w:t>2.工程主要内容及预估量</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1）场地功能规划：结合场地尺寸（长47米，宽23.6米，局部宽25.8米），划分体操核心训练区、防护缓冲区、辅助训练区、多元运动区及配套区域；</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2）器材采购安装：采购单杠、双杠、鞍马、跳马等15类专业体育器材，总计38套，确保符合专业标准；</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3）预埋件施工：在保留现有木地板主体结构的前提下，精准增设10个体操预埋件（含核心使用6个、备用4个），采用最小破坏施工法完成固定与场地恢复。</w:t>
            </w:r>
          </w:p>
          <w:p>
            <w:pPr>
              <w:pStyle w:val="null3"/>
              <w:ind w:firstLine="361"/>
              <w:jc w:val="left"/>
            </w:pPr>
            <w:r>
              <w:rPr>
                <w:rFonts w:ascii="仿宋_GB2312" w:hAnsi="仿宋_GB2312" w:cs="仿宋_GB2312" w:eastAsia="仿宋_GB2312"/>
                <w:sz w:val="18"/>
                <w:b/>
                <w:color w:val="000000"/>
              </w:rPr>
              <w:t>3.主要材料规格型号及技术参数要求：</w:t>
            </w:r>
          </w:p>
          <w:tbl>
            <w:tblPr>
              <w:tblBorders>
                <w:top w:val="none" w:color="000000" w:sz="4"/>
                <w:left w:val="none" w:color="000000" w:sz="4"/>
                <w:bottom w:val="none" w:color="000000" w:sz="4"/>
                <w:right w:val="none" w:color="000000" w:sz="4"/>
                <w:insideH w:val="none"/>
                <w:insideV w:val="none"/>
              </w:tblBorders>
            </w:tblPr>
            <w:tblGrid>
              <w:gridCol w:w="219"/>
              <w:gridCol w:w="408"/>
              <w:gridCol w:w="439"/>
              <w:gridCol w:w="748"/>
              <w:gridCol w:w="224"/>
              <w:gridCol w:w="230"/>
              <w:gridCol w:w="261"/>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材料设备名称</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规格型号</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技术参数、性能指标及配置要求</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单杠</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详见技术参数、性能指标及配置要求</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1.杠面由φ2.8cm的具有特殊弹性的材料制成，两端有防锈处理杠，杠面长度为240cm。横杠两端安装柱销中心距离：240cm。</w:t>
                  </w:r>
                  <w:r>
                    <w:br/>
                  </w:r>
                  <w:r>
                    <w:rPr>
                      <w:rFonts w:ascii="仿宋_GB2312" w:hAnsi="仿宋_GB2312" w:cs="仿宋_GB2312" w:eastAsia="仿宋_GB2312"/>
                      <w:sz w:val="21"/>
                      <w:color w:val="000000"/>
                    </w:rPr>
                    <w:t>2.立柱采用φ6cm×0.4cm的优质无缝钢管经车销后焊接而成。</w:t>
                  </w:r>
                  <w:r>
                    <w:br/>
                  </w:r>
                  <w:r>
                    <w:rPr>
                      <w:rFonts w:ascii="仿宋_GB2312" w:hAnsi="仿宋_GB2312" w:cs="仿宋_GB2312" w:eastAsia="仿宋_GB2312"/>
                      <w:sz w:val="21"/>
                      <w:color w:val="000000"/>
                    </w:rPr>
                    <w:t>3.调节杆采用φ5cm×1cm的优质无逢钢管，表面经特殊处理，保证了使用过程中调节的灵活性。</w:t>
                  </w:r>
                  <w:r>
                    <w:br/>
                  </w:r>
                  <w:r>
                    <w:rPr>
                      <w:rFonts w:ascii="仿宋_GB2312" w:hAnsi="仿宋_GB2312" w:cs="仿宋_GB2312" w:eastAsia="仿宋_GB2312"/>
                      <w:sz w:val="21"/>
                      <w:color w:val="000000"/>
                    </w:rPr>
                    <w:t>4.拉力系统采用φ0.6cm的不锈钢丝绳制成，配备两个快速涨紧块，使拉绳张力快速合成。</w:t>
                  </w:r>
                  <w:r>
                    <w:br/>
                  </w:r>
                  <w:r>
                    <w:rPr>
                      <w:rFonts w:ascii="仿宋_GB2312" w:hAnsi="仿宋_GB2312" w:cs="仿宋_GB2312" w:eastAsia="仿宋_GB2312"/>
                      <w:sz w:val="21"/>
                      <w:color w:val="000000"/>
                    </w:rPr>
                    <w:t>▲5.升降高度为（1）270cm-305cm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2）145cm-255cm，升降间距均为5cm,配备特殊锁紧系统。</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双杠</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详见技术参数、性能指标及配置要求</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1.杠面长度350cm杠面材质为优质玻璃钢外包木页，垂直轴线长度为5cm，水平轴线长度为4cm。</w:t>
                  </w:r>
                  <w:r>
                    <w:br/>
                  </w:r>
                  <w:r>
                    <w:rPr>
                      <w:rFonts w:ascii="仿宋_GB2312" w:hAnsi="仿宋_GB2312" w:cs="仿宋_GB2312" w:eastAsia="仿宋_GB2312"/>
                      <w:sz w:val="21"/>
                      <w:color w:val="000000"/>
                    </w:rPr>
                    <w:t>2.升降高度为160cm-210cm之间可调，升降间距为5cm。</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3.横杆之间宽度为42cm-62cm无级可调。</w:t>
                  </w:r>
                  <w:r>
                    <w:rPr>
                      <w:rFonts w:ascii="仿宋_GB2312" w:hAnsi="仿宋_GB2312" w:cs="仿宋_GB2312" w:eastAsia="仿宋_GB2312"/>
                      <w:sz w:val="21"/>
                      <w:color w:val="000000"/>
                    </w:rPr>
                    <w:t>横杠规格：</w:t>
                  </w:r>
                  <w:r>
                    <w:rPr>
                      <w:rFonts w:ascii="仿宋_GB2312" w:hAnsi="仿宋_GB2312" w:cs="仿宋_GB2312" w:eastAsia="仿宋_GB2312"/>
                      <w:sz w:val="21"/>
                      <w:color w:val="000000"/>
                    </w:rPr>
                    <w:t>39mm×49mm×3500mm，垂直轴线长度为50mm，水平轴线长度为40mm；</w:t>
                  </w:r>
                  <w:r>
                    <w:br/>
                  </w:r>
                  <w:r>
                    <w:rPr>
                      <w:rFonts w:ascii="仿宋_GB2312" w:hAnsi="仿宋_GB2312" w:cs="仿宋_GB2312" w:eastAsia="仿宋_GB2312"/>
                      <w:sz w:val="21"/>
                      <w:color w:val="000000"/>
                    </w:rPr>
                    <w:t>4.立柱外管材质规格：无缝φ89×14mm；</w:t>
                  </w:r>
                  <w:r>
                    <w:br/>
                  </w:r>
                  <w:r>
                    <w:rPr>
                      <w:rFonts w:ascii="仿宋_GB2312" w:hAnsi="仿宋_GB2312" w:cs="仿宋_GB2312" w:eastAsia="仿宋_GB2312"/>
                      <w:sz w:val="21"/>
                      <w:color w:val="000000"/>
                    </w:rPr>
                    <w:t>5.立柱内管规格：无缝φ70×12mm；</w:t>
                  </w:r>
                  <w:r>
                    <w:br/>
                  </w:r>
                  <w:r>
                    <w:rPr>
                      <w:rFonts w:ascii="仿宋_GB2312" w:hAnsi="仿宋_GB2312" w:cs="仿宋_GB2312" w:eastAsia="仿宋_GB2312"/>
                      <w:sz w:val="21"/>
                      <w:color w:val="000000"/>
                    </w:rPr>
                    <w:t>6.底座管规格：100×50×3mm；</w:t>
                  </w:r>
                  <w:r>
                    <w:br/>
                  </w:r>
                  <w:r>
                    <w:rPr>
                      <w:rFonts w:ascii="仿宋_GB2312" w:hAnsi="仿宋_GB2312" w:cs="仿宋_GB2312" w:eastAsia="仿宋_GB2312"/>
                      <w:sz w:val="21"/>
                      <w:color w:val="000000"/>
                    </w:rPr>
                    <w:t>7.法兰盘厚度：10mm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平衡木</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详见技术参数、性能指标及配置要求</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1.横梁长度为500cm，上端宽度为10cm，高度为16cm，</w:t>
                  </w:r>
                  <w:r>
                    <w:rPr>
                      <w:rFonts w:ascii="仿宋_GB2312" w:hAnsi="仿宋_GB2312" w:cs="仿宋_GB2312" w:eastAsia="仿宋_GB2312"/>
                      <w:sz w:val="21"/>
                      <w:color w:val="000000"/>
                    </w:rPr>
                    <w:t>▲</w:t>
                  </w:r>
                  <w:r>
                    <w:rPr>
                      <w:rFonts w:ascii="仿宋_GB2312" w:hAnsi="仿宋_GB2312" w:cs="仿宋_GB2312" w:eastAsia="仿宋_GB2312"/>
                      <w:sz w:val="21"/>
                      <w:color w:val="000000"/>
                    </w:rPr>
                    <w:t>外包覆特质纤维革，吸湿表层双倍减震；</w:t>
                  </w:r>
                  <w:r>
                    <w:br/>
                  </w:r>
                  <w:r>
                    <w:rPr>
                      <w:rFonts w:ascii="仿宋_GB2312" w:hAnsi="仿宋_GB2312" w:cs="仿宋_GB2312" w:eastAsia="仿宋_GB2312"/>
                      <w:sz w:val="21"/>
                      <w:color w:val="000000"/>
                    </w:rPr>
                    <w:t>2.整体调节高度为70cm-125cm之间可调，升降间距为5cm。</w:t>
                  </w:r>
                  <w:r>
                    <w:br/>
                  </w:r>
                  <w:r>
                    <w:rPr>
                      <w:rFonts w:ascii="仿宋_GB2312" w:hAnsi="仿宋_GB2312" w:cs="仿宋_GB2312" w:eastAsia="仿宋_GB2312"/>
                      <w:sz w:val="21"/>
                      <w:color w:val="000000"/>
                    </w:rPr>
                    <w:t>特点：特制的橡胶减震系统增加了横梁的整体弹性，手柄可以快速调节横梁的高度，锁紧快捷牢固，预成型泡沫端堵最大限度地保护了运动员下器械时不受伤害。</w:t>
                  </w:r>
                  <w:r>
                    <w:br/>
                  </w:r>
                  <w:r>
                    <w:rPr>
                      <w:rFonts w:ascii="仿宋_GB2312" w:hAnsi="仿宋_GB2312" w:cs="仿宋_GB2312" w:eastAsia="仿宋_GB2312"/>
                      <w:sz w:val="21"/>
                      <w:color w:val="000000"/>
                    </w:rPr>
                    <w:t>整体由横梁、主腿两部分组成。</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跳马</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详见技术参数、性能指标及配置要求</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1.马身长度为120cm，宽度为95cm，高度53.25cm，</w:t>
                  </w:r>
                  <w:r>
                    <w:rPr>
                      <w:rFonts w:ascii="仿宋_GB2312" w:hAnsi="仿宋_GB2312" w:cs="仿宋_GB2312" w:eastAsia="仿宋_GB2312"/>
                      <w:sz w:val="21"/>
                      <w:color w:val="000000"/>
                    </w:rPr>
                    <w:t>▲</w:t>
                  </w:r>
                  <w:r>
                    <w:rPr>
                      <w:rFonts w:ascii="仿宋_GB2312" w:hAnsi="仿宋_GB2312" w:cs="仿宋_GB2312" w:eastAsia="仿宋_GB2312"/>
                      <w:sz w:val="21"/>
                      <w:color w:val="000000"/>
                    </w:rPr>
                    <w:t>内胎由高温模压成形木板上，表面粘附特制吸震材料，</w:t>
                  </w:r>
                  <w:r>
                    <w:rPr>
                      <w:rFonts w:ascii="仿宋_GB2312" w:hAnsi="仿宋_GB2312" w:cs="仿宋_GB2312" w:eastAsia="仿宋_GB2312"/>
                      <w:sz w:val="21"/>
                      <w:color w:val="000000"/>
                    </w:rPr>
                    <w:t>经特殊材料包覆而成，运动区与警示区有明显区分。</w:t>
                  </w:r>
                  <w:r>
                    <w:br/>
                  </w:r>
                  <w:r>
                    <w:rPr>
                      <w:rFonts w:ascii="仿宋_GB2312" w:hAnsi="仿宋_GB2312" w:cs="仿宋_GB2312" w:eastAsia="仿宋_GB2312"/>
                      <w:sz w:val="21"/>
                      <w:color w:val="000000"/>
                    </w:rPr>
                    <w:t>2.整体升降高度105cm-135cm之间可调，升降间距为5cm。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跳马助跑道</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2500cm×100cm×2.5cm</w:t>
                  </w:r>
                  <w:r>
                    <w:br/>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2500cm×100cm×2.5cm</w:t>
                  </w:r>
                  <w:r>
                    <w:br/>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XPE及地毯热合而成</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鞍马</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详见技术参数、性能指标及配置要求</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1.鞍马马身表面为特制纤维革包覆，内置本体经高温模压一次成形，马身整体长度为160cm，上宽为35cm，下宽为30cm，高度为28cm。</w:t>
                  </w:r>
                  <w:r>
                    <w:br/>
                  </w:r>
                  <w:r>
                    <w:rPr>
                      <w:rFonts w:ascii="仿宋_GB2312" w:hAnsi="仿宋_GB2312" w:cs="仿宋_GB2312" w:eastAsia="仿宋_GB2312"/>
                      <w:sz w:val="21"/>
                      <w:color w:val="000000"/>
                    </w:rPr>
                    <w:t>2.环高度为12cm，鞍马环间距40cm-45cm连续可调，整体升降高度鞍马身距地面为95cm-125cm之间可调，升降间距为5cm。</w:t>
                  </w:r>
                  <w:r>
                    <w:br/>
                  </w:r>
                  <w:r>
                    <w:rPr>
                      <w:rFonts w:ascii="仿宋_GB2312" w:hAnsi="仿宋_GB2312" w:cs="仿宋_GB2312" w:eastAsia="仿宋_GB2312"/>
                      <w:sz w:val="21"/>
                      <w:color w:val="000000"/>
                    </w:rPr>
                    <w:t>整体由环、马身、基座、立柱四部分组成。</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体操保护垫</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200cm×300cm×10cm</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200cm×300cm×10cm</w:t>
                  </w:r>
                </w:p>
                <w:p>
                  <w:pPr>
                    <w:pStyle w:val="null3"/>
                    <w:jc w:val="left"/>
                  </w:pPr>
                  <w:r>
                    <w:rPr>
                      <w:rFonts w:ascii="仿宋_GB2312" w:hAnsi="仿宋_GB2312" w:cs="仿宋_GB2312" w:eastAsia="仿宋_GB2312"/>
                      <w:sz w:val="21"/>
                    </w:rPr>
                    <w:t>采用优质</w:t>
                  </w:r>
                  <w:r>
                    <w:rPr>
                      <w:rFonts w:ascii="仿宋_GB2312" w:hAnsi="仿宋_GB2312" w:cs="仿宋_GB2312" w:eastAsia="仿宋_GB2312"/>
                      <w:sz w:val="21"/>
                    </w:rPr>
                    <w:t>PVC经遍布、ρ25±2.5海绵组成；此垫设有把手结构，搬运方便；内胎海绵更轻便、软硬适中；产品耐磨、防水。</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体操保护垫</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200cm×200cm×10cm</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200cm×200cm×10cm</w:t>
                  </w:r>
                </w:p>
                <w:p>
                  <w:pPr>
                    <w:pStyle w:val="null3"/>
                    <w:jc w:val="left"/>
                  </w:pPr>
                  <w:r>
                    <w:rPr>
                      <w:rFonts w:ascii="仿宋_GB2312" w:hAnsi="仿宋_GB2312" w:cs="仿宋_GB2312" w:eastAsia="仿宋_GB2312"/>
                      <w:sz w:val="21"/>
                    </w:rPr>
                    <w:t>采用优质</w:t>
                  </w:r>
                  <w:r>
                    <w:rPr>
                      <w:rFonts w:ascii="仿宋_GB2312" w:hAnsi="仿宋_GB2312" w:cs="仿宋_GB2312" w:eastAsia="仿宋_GB2312"/>
                      <w:sz w:val="21"/>
                    </w:rPr>
                    <w:t>PVC经遍布、ρ25±2.5海绵组成；此垫设有把手结构，搬运方便；内胎海绵更轻便、软硬适中；产品耐磨、防水。</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体操保护垫</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300cm*200cm*30cm</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300cm*200cm*30cm</w:t>
                  </w:r>
                  <w:r>
                    <w:br/>
                  </w:r>
                  <w:r>
                    <w:rPr>
                      <w:rFonts w:ascii="仿宋_GB2312" w:hAnsi="仿宋_GB2312" w:cs="仿宋_GB2312" w:eastAsia="仿宋_GB2312"/>
                      <w:sz w:val="21"/>
                    </w:rPr>
                    <w:t>采用优质</w:t>
                  </w:r>
                  <w:r>
                    <w:rPr>
                      <w:rFonts w:ascii="仿宋_GB2312" w:hAnsi="仿宋_GB2312" w:cs="仿宋_GB2312" w:eastAsia="仿宋_GB2312"/>
                      <w:sz w:val="21"/>
                    </w:rPr>
                    <w:t>PVC经遍布、ρ25±2.5海绵组成；此垫设有把手结构，搬运方便；内胎海绵更轻便、软硬适中；产品耐磨、防水。</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体操保护垫</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300cm×200cm×50cm</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300cm×200cm×50cm</w:t>
                  </w:r>
                  <w:r>
                    <w:br/>
                  </w:r>
                  <w:r>
                    <w:rPr>
                      <w:rFonts w:ascii="仿宋_GB2312" w:hAnsi="仿宋_GB2312" w:cs="仿宋_GB2312" w:eastAsia="仿宋_GB2312"/>
                      <w:sz w:val="21"/>
                    </w:rPr>
                    <w:t>采用优质</w:t>
                  </w:r>
                  <w:r>
                    <w:rPr>
                      <w:rFonts w:ascii="仿宋_GB2312" w:hAnsi="仿宋_GB2312" w:cs="仿宋_GB2312" w:eastAsia="仿宋_GB2312"/>
                      <w:sz w:val="21"/>
                    </w:rPr>
                    <w:t>PVC经遍布、ρ25±2.5海绵组成；此垫设有把手结构，搬运方便；内胎海绵更轻便、软硬适中；产品耐磨、防水。</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弹力气垫</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2*10米</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2*10米</w:t>
                  </w:r>
                  <w:r>
                    <w:rPr>
                      <w:rFonts w:ascii="仿宋_GB2312" w:hAnsi="仿宋_GB2312" w:cs="仿宋_GB2312" w:eastAsia="仿宋_GB2312"/>
                      <w:sz w:val="21"/>
                    </w:rPr>
                    <w:t>（</w:t>
                  </w:r>
                  <w:r>
                    <w:rPr>
                      <w:rFonts w:ascii="仿宋_GB2312" w:hAnsi="仿宋_GB2312" w:cs="仿宋_GB2312" w:eastAsia="仿宋_GB2312"/>
                      <w:sz w:val="21"/>
                    </w:rPr>
                    <w:t>含充气泵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材质：拉丝空间布，防水防滑防震消音，回弹性好，韧性强耐用。</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肋木架</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180cm×18cm×280cm</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180cm×18cm×280cm</w:t>
                  </w:r>
                  <w:r>
                    <w:br/>
                  </w:r>
                  <w:r>
                    <w:rPr>
                      <w:rFonts w:ascii="仿宋_GB2312" w:hAnsi="仿宋_GB2312" w:cs="仿宋_GB2312" w:eastAsia="仿宋_GB2312"/>
                      <w:sz w:val="21"/>
                      <w:shd w:fill="FFFFFF" w:val="clear"/>
                    </w:rPr>
                    <w:t>优质水曲柳</w:t>
                  </w:r>
                  <w:r>
                    <w:rPr>
                      <w:rFonts w:ascii="仿宋_GB2312" w:hAnsi="仿宋_GB2312" w:cs="仿宋_GB2312" w:eastAsia="仿宋_GB2312"/>
                      <w:sz w:val="21"/>
                      <w:shd w:fill="FFFFFF" w:val="clear"/>
                    </w:rPr>
                    <w:t>(实木）</w:t>
                  </w:r>
                  <w:r>
                    <w:rPr>
                      <w:rFonts w:ascii="仿宋_GB2312" w:hAnsi="仿宋_GB2312" w:cs="仿宋_GB2312" w:eastAsia="仿宋_GB2312"/>
                      <w:sz w:val="21"/>
                      <w:shd w:fill="FFFFFF" w:val="clear"/>
                    </w:rPr>
                    <w:t>，采用木工卯榫工艺，整体连接牢固</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木质表面进行防水、防油处理</w:t>
                  </w:r>
                  <w:r>
                    <w:rPr>
                      <w:rFonts w:ascii="仿宋_GB2312" w:hAnsi="仿宋_GB2312" w:cs="仿宋_GB2312" w:eastAsia="仿宋_GB2312"/>
                      <w:sz w:val="21"/>
                      <w:shd w:fill="FFFFFF" w:val="clear"/>
                    </w:rPr>
                    <w:t>，横肋间距</w:t>
                  </w:r>
                  <w:r>
                    <w:rPr>
                      <w:rFonts w:ascii="仿宋_GB2312" w:hAnsi="仿宋_GB2312" w:cs="仿宋_GB2312" w:eastAsia="仿宋_GB2312"/>
                      <w:sz w:val="21"/>
                      <w:shd w:fill="FFFFFF" w:val="clear"/>
                    </w:rPr>
                    <w:t>300mm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弹簧跳板</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详见技术参数、性能指标及配置要求</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shd w:fill="FFFFFF" w:val="clear"/>
                    </w:rPr>
                    <w:t>1、尺寸：长120cm×宽60cm×高22cm；</w:t>
                  </w:r>
                  <w:r>
                    <w:br/>
                  </w:r>
                  <w:r>
                    <w:rPr>
                      <w:rFonts w:ascii="仿宋_GB2312" w:hAnsi="仿宋_GB2312" w:cs="仿宋_GB2312" w:eastAsia="仿宋_GB2312"/>
                      <w:sz w:val="21"/>
                      <w:shd w:fill="FFFFFF" w:val="clear"/>
                    </w:rPr>
                    <w:t>2.主要材质：桦木板、玻璃纤维板</w:t>
                  </w:r>
                </w:p>
                <w:p>
                  <w:pPr>
                    <w:pStyle w:val="null3"/>
                    <w:jc w:val="left"/>
                  </w:pPr>
                  <w:r>
                    <w:rPr>
                      <w:rFonts w:ascii="仿宋_GB2312" w:hAnsi="仿宋_GB2312" w:cs="仿宋_GB2312" w:eastAsia="仿宋_GB2312"/>
                      <w:sz w:val="21"/>
                      <w:shd w:fill="FFFFFF" w:val="clear"/>
                    </w:rPr>
                    <w:t>3.产品特点：表层覆盖簇绒地毯，配备七个金属弹簧，橡塑缓冲层，回弹效果极佳。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体操预埋件</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22×22×（8.5-11.5cm）</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22×22×（8.5-11.5cm）可调具体预埋件样式，需要切开木地板，根据实际场地情况选择</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体操预埋件安装</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详见技术参数、性能指标及配置要求</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大概方案：在需要预埋部位，切割木地板，开一个不小于</w:t>
                  </w:r>
                  <w:r>
                    <w:rPr>
                      <w:rFonts w:ascii="仿宋_GB2312" w:hAnsi="仿宋_GB2312" w:cs="仿宋_GB2312" w:eastAsia="仿宋_GB2312"/>
                      <w:sz w:val="21"/>
                    </w:rPr>
                    <w:t>80*80cm的孔，打膨胀螺丝固定预埋件，然后用切割下来木地板恢复。</w:t>
                  </w:r>
                  <w:r>
                    <w:br/>
                  </w:r>
                  <w:r>
                    <w:rPr>
                      <w:rFonts w:ascii="仿宋_GB2312" w:hAnsi="仿宋_GB2312" w:cs="仿宋_GB2312" w:eastAsia="仿宋_GB2312"/>
                      <w:sz w:val="21"/>
                    </w:rPr>
                    <w:t>该方案优点：作业面小，破坏面小，节省费用，缺点：切割下来部分无法于原木地板连接，成为一个活动盖板，美观性不足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0"/>
                <w:color w:val="000000"/>
              </w:rPr>
              <w:t>注：标注</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”的参数信息为重要技术参数。</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达到国家验收质量合格标准。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具有独立承担民事责任的能力且具备向采购人提供相关货物及相应服务的企业法人/事业法人/其他组织,企业法人应提供合法有效的营业执照等证明文件，事业法人应提供合法有效的事业单位法人证等证明文件，其他组织应提供合法有效的证明文件； （2）财务状况报告：提供具有财务审计资质单位出具的2024年度财务审计报告（成立时间至投标截止时间不足一年的可提供成立后任意时段的资产负债表），或者投标截止时间六个月内基本开户银行出具的资信证明（以上两种形式的资料提供任何一种即可）； （3）税收缴纳证明：提供磋商响应文件递交截止时间前一年内已缴纳的至少三个月的有效缴税凭证（成立时间至投标截止时间不足三个月的，至少提供一个月的有效纳税凭证）；（依法免税的供应商应提供相关文件证明）； （4）社会保障资金缴纳证明：提供磋商响应文件递交截止时间前一年内已缴存的至少三个月的有效缴存单据或社保机构开具的社会保险参保缴费情况证明；（依法不需要缴纳社会保障资金的供应商应提供相关证明）； （5）供应商提供具备履行合同所必需的设备和专业技术能力的承诺函； （6）供应商参加本次采购前3年内，在经营活动中没有重大违法记录的书面声明。供应商需在项目电子化交易系统中按要求填写《响应函》完成承诺并进行电子签章。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残疾人福利性单位声明函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财务审计报告（成立时间至磋商响应文件递交截止时间不足一年的可提供成立后任意时段的资产负债表），或者磋商响应文件递交截止时间前六个月内基本开户银行出具的资信证明（以上两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参与的供应商（联合体）全部为符合政策要求的中小企业。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法定代表人授权委托书附法定代表人身份证复印件及被授权人身份证复印件，法定代表人直接参加磋商的只需提供法定代表人身份证原件。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供应商信用要求</w:t>
            </w:r>
          </w:p>
        </w:tc>
        <w:tc>
          <w:tcPr>
            <w:tcW w:type="dxa" w:w="3322"/>
          </w:tcPr>
          <w:p>
            <w:pPr>
              <w:pStyle w:val="null3"/>
            </w:pPr>
            <w:r>
              <w:rPr>
                <w:rFonts w:ascii="仿宋_GB2312" w:hAnsi="仿宋_GB2312" w:cs="仿宋_GB2312" w:eastAsia="仿宋_GB2312"/>
              </w:rPr>
              <w:t>供应商不得为“信用中国”网站（https://www.creditchina.gov.cn/）中列入失信被执行人、重大税收违法失信主体名单和政府采购严重违法失信行为记录名单的供应商，不得为中国政府采购网（https://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过程中，磋商小组认为供应商的报价出现下列情形：（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5）采购人可以结合具体项目实际情况，提高上述第1项至第3项中启动异常低价投标（响应）审查的数值标准，但是最高不得超过65%；且有可能影响工程质量或者不能诚信履约的，应当要求其在合理的时间内提供书面说明，必要时提交相关证明材料；供应商不能证明其报价合理性的，磋商小组应当将其作为无效响应处理。 供应商通过项目电子化交易系统在磋商小组要求的合理时间内提交说明，否则无效。 注：按照财政部颁发的《关于推动解决政府采购异常低价问题的通知》（财库〔2026〕2号）第二条规定。</w:t>
            </w:r>
          </w:p>
        </w:tc>
        <w:tc>
          <w:tcPr>
            <w:tcW w:type="dxa" w:w="1661"/>
          </w:tcPr>
          <w:p>
            <w:pPr>
              <w:pStyle w:val="null3"/>
            </w:pPr>
            <w:r>
              <w:rPr>
                <w:rFonts w:ascii="仿宋_GB2312" w:hAnsi="仿宋_GB2312" w:cs="仿宋_GB2312" w:eastAsia="仿宋_GB2312"/>
              </w:rPr>
              <w:t>报价函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商务及技术条款响应偏离表.docx 报价函 供应商资格证明文件.docx 响应函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磋商报价是否超过预算或最高限价</w:t>
            </w:r>
          </w:p>
        </w:tc>
        <w:tc>
          <w:tcPr>
            <w:tcW w:type="dxa" w:w="3322"/>
          </w:tcPr>
          <w:p>
            <w:pPr>
              <w:pStyle w:val="null3"/>
            </w:pPr>
            <w:r>
              <w:rPr>
                <w:rFonts w:ascii="仿宋_GB2312" w:hAnsi="仿宋_GB2312" w:cs="仿宋_GB2312" w:eastAsia="仿宋_GB2312"/>
              </w:rPr>
              <w:t>磋商报价未超过预算或最高限价。</w:t>
            </w:r>
          </w:p>
        </w:tc>
        <w:tc>
          <w:tcPr>
            <w:tcW w:type="dxa" w:w="1661"/>
          </w:tcPr>
          <w:p>
            <w:pPr>
              <w:pStyle w:val="null3"/>
            </w:pPr>
            <w:r>
              <w:rPr>
                <w:rFonts w:ascii="仿宋_GB2312" w:hAnsi="仿宋_GB2312" w:cs="仿宋_GB2312" w:eastAsia="仿宋_GB2312"/>
              </w:rPr>
              <w:t>响应文件封面 报价函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均符合竞争性磋商文件要求。</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磋商响应文件内容是否完整</w:t>
            </w:r>
          </w:p>
        </w:tc>
        <w:tc>
          <w:tcPr>
            <w:tcW w:type="dxa" w:w="3322"/>
          </w:tcPr>
          <w:p>
            <w:pPr>
              <w:pStyle w:val="null3"/>
            </w:pPr>
            <w:r>
              <w:rPr>
                <w:rFonts w:ascii="仿宋_GB2312" w:hAnsi="仿宋_GB2312" w:cs="仿宋_GB2312" w:eastAsia="仿宋_GB2312"/>
              </w:rPr>
              <w:t>磋商响应文件内容完整。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报价函 供应商资格证明文件.docx 响应函 报价明细表.docx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签字盖章是否满足竞争性磋商文件要求</w:t>
            </w:r>
          </w:p>
        </w:tc>
        <w:tc>
          <w:tcPr>
            <w:tcW w:type="dxa" w:w="3322"/>
          </w:tcPr>
          <w:p>
            <w:pPr>
              <w:pStyle w:val="null3"/>
            </w:pPr>
            <w:r>
              <w:rPr>
                <w:rFonts w:ascii="仿宋_GB2312" w:hAnsi="仿宋_GB2312" w:cs="仿宋_GB2312" w:eastAsia="仿宋_GB2312"/>
              </w:rPr>
              <w:t>签字盖章均符合竞争性磋商文件要求，且无遗漏。</w:t>
            </w:r>
          </w:p>
        </w:tc>
        <w:tc>
          <w:tcPr>
            <w:tcW w:type="dxa" w:w="1661"/>
          </w:tcPr>
          <w:p>
            <w:pPr>
              <w:pStyle w:val="null3"/>
            </w:pPr>
            <w:r>
              <w:rPr>
                <w:rFonts w:ascii="仿宋_GB2312" w:hAnsi="仿宋_GB2312" w:cs="仿宋_GB2312" w:eastAsia="仿宋_GB2312"/>
              </w:rPr>
              <w:t>商务及技术条款响应偏离表.docx 技术方案.docx 中小企业声明函 企业业绩.docx 响应文件封面 供应商认为需要补充的其他资料.docx 残疾人福利性单位声明函 报价函 标的清单 供应商资格证明文件.docx 响应函 报价明细表.docx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竞争性磋商文件要求，供应商应认真审核其响应文件中技术参数响应，并提供所投产品对应的佐证材料（佐证资料包括但不限于国家认可的检测机构出具的检测报告、制造商检验报告、产品彩页、官网功能截图）。其中（1）重要技术参数“▲”项满分10分，有一项负偏离扣2分，扣完为止；（2）其他未标注项参数满分20分，有一项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商务及技术条款响应偏离表.docx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一、评审内容：供应商针对本项目的实施方案，包括：①供货组织安排；②配送服务方案；③实施计划及进度计划；④安装调试方案；⑤配合验收方案；⑥人员配备方案。 二、评审标准：1、完整性：方案必须全面，对评审内容中的各项要求有详细描述；2、可实施性：切合本项目实际情况，提出步骤清晰、合理的方案；3、针对性：方案能够紧扣项目实际情况，内容科学合理。 三、赋分标准：（满分9分）①供货组织安排：每完全满足一个评审标准得0.5分，满分1.5分；②配送服务方案：每完全满足一个评审标准得0.5分，满分1.5分；③实施计划及进度计划：每完全满足一个评审标准得0.5分，满分1.5分；④安装调试方案：每完全满足一个评审标准得0.5分，满分1.5分；⑤配合验收方案：每完全满足一个评审标准得0.5分，满分1.5分；⑥人员配备方案：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产品进货渠道正规，确保生产供应的产品无假货、水货、翻新货且无产权纠纷，提供响应产品的合法来源渠道证明文件（不限于原厂授权、供货协议等）,完全响应得3分；未提供或提供不全不得分。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商务及技术条款响应偏离表.docx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一、评审内容：投标人针对本项目提供详细的售后服务措施，包括：①应急保障处理预案及解决问题能力；②售后服务内容及保障措施；③产品交付后出现质量问题的响应时间、方式；④故障处理及补救措施。 二、评审标准：1、完整性：方案必须全面，对评审内容中的各项要求有详细描述；2、可实施性：切合本项目实际情况，提出步骤清晰、合理的方案；3、针对性：方案能够紧扣项目实际情况，内容科学合理。 三、赋分标准：（满分6分）①应急保障处理预案及解决问题能力：每完全满足一个评审标准得0.5分，满分1.5分；②售后服务内容及保障措施：每完全满足一个评审标准得0.5分，满分1.5分；③产品交付后出现质量问题的响应时间、方式：每完全满足一个评审标准得0.5分，满分1.5分；④故障处理及补救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产品质量认证</w:t>
            </w:r>
          </w:p>
        </w:tc>
        <w:tc>
          <w:tcPr>
            <w:tcW w:type="dxa" w:w="2492"/>
          </w:tcPr>
          <w:p>
            <w:pPr>
              <w:pStyle w:val="null3"/>
            </w:pPr>
            <w:r>
              <w:rPr>
                <w:rFonts w:ascii="仿宋_GB2312" w:hAnsi="仿宋_GB2312" w:cs="仿宋_GB2312" w:eastAsia="仿宋_GB2312"/>
              </w:rPr>
              <w:t>供应商所投产品(竞争性磋商文件第三章中主要材料规格型号及技术参数要求中序号1-14,其中体操保护垫四种规格中产品10必须提供，其余三种规格若提供不重复计分)需提供产品FIG认证证书，并附FIG ID，供应商所投产品中有一项产品获得FIG系认证证书得1分，满分11分。注：响应文件中均需提供认证证书扫描件并加盖公章。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商务及技术条款响应偏离表.docx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一、评审内容：供应商针对本项目提供的产品性能，包括：①安全性能；②产品材料与结构强度性能；③耐久性与环境适应性；④环保性能。 二、评审标准：供应商应提供能够证明所投产品以上四项性能的认证证书或质检报告或试验文件等资料。 二、赋分标准：（满分6分）①安全性能：有相关证明资料的得1.5分，提供内容不完整或者未提供不得分；②产品材料与结构强度性能：有相关证明资料的得1.5分，提供内容不完整或者未提供不得分；③耐久性与环境适应性：有相关证明资料的1.5分，提供内容不完整或者未提供不得分；④环保性能：有相关证明资料的得1.5分，提供内容不完整或者未提供不得分。 注：响应文件中均需提供相关证明文件扫描件并加盖公章。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商务及技术条款响应偏离表.docx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供应商提供自2023年1月1日至今的类似体操器械采购项目业绩（以业绩合同签订时间为准），每提供1份得1分，满分5分。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价格权值×100 注：（1）投标报价不完整的，不进入评标基准价的计算，本项得0分； （2）计算分数时四舍五入取小数点后两位； （3）需要落实政府采购政策详见竞争性磋商文件。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1、本项目为非专门面向中小企业采购的采购项目。因此执行价格评审优惠扶持政策。 2、对于经主管预算单位统筹后未预留份额专门面向中小企业采购的采购项目，以及预留份额项目中的非预留部分采购包，对符合《政府采购促进中小企业发展管理办法》（财库〔2020〕46号）规定的小微企业报价给予5%的扣除，用扣除后的价格参加评审。承接本项目的供应商符合相应条件时，给予5%的价格扣除，即：评标价=最后报价X(1%-5%)；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详见附件：商务及技术条款响应偏离表.docx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详见附件：供应商认为需要补充的其他资料.docx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详见附件：主要合同条款.docx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