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BD35A">
      <w:pPr>
        <w:spacing w:before="156" w:beforeLines="50" w:line="480" w:lineRule="auto"/>
        <w:jc w:val="center"/>
        <w:rPr>
          <w:rFonts w:hint="eastAsia" w:ascii="仿宋" w:hAnsi="仿宋" w:eastAsia="仿宋" w:cs="仿宋"/>
          <w:b/>
          <w:bCs/>
          <w:color w:val="auto"/>
          <w:sz w:val="32"/>
          <w:szCs w:val="32"/>
          <w:highlight w:val="none"/>
        </w:rPr>
      </w:pPr>
    </w:p>
    <w:p w14:paraId="76100DA3">
      <w:pPr>
        <w:spacing w:before="156" w:beforeLines="50" w:line="480" w:lineRule="auto"/>
        <w:jc w:val="center"/>
        <w:rPr>
          <w:rFonts w:hint="eastAsia" w:ascii="仿宋" w:hAnsi="仿宋" w:eastAsia="仿宋" w:cs="仿宋"/>
          <w:b/>
          <w:bCs/>
          <w:color w:val="auto"/>
          <w:sz w:val="32"/>
          <w:szCs w:val="32"/>
          <w:highlight w:val="none"/>
        </w:rPr>
      </w:pPr>
    </w:p>
    <w:p w14:paraId="0218381B">
      <w:pPr>
        <w:spacing w:before="156" w:beforeLines="50" w:line="480" w:lineRule="auto"/>
        <w:jc w:val="center"/>
        <w:rPr>
          <w:rFonts w:hint="eastAsia" w:ascii="仿宋" w:hAnsi="仿宋" w:eastAsia="仿宋" w:cs="仿宋"/>
          <w:b/>
          <w:bCs/>
          <w:color w:val="auto"/>
          <w:sz w:val="32"/>
          <w:szCs w:val="32"/>
          <w:highlight w:val="none"/>
        </w:rPr>
      </w:pPr>
    </w:p>
    <w:p w14:paraId="18F01153">
      <w:pPr>
        <w:spacing w:before="156" w:beforeLines="50" w:line="480" w:lineRule="auto"/>
        <w:jc w:val="center"/>
        <w:rPr>
          <w:rFonts w:hint="eastAsia" w:ascii="仿宋" w:hAnsi="仿宋" w:eastAsia="仿宋" w:cs="仿宋"/>
          <w:b/>
          <w:bCs/>
          <w:color w:val="auto"/>
          <w:sz w:val="32"/>
          <w:szCs w:val="32"/>
          <w:highlight w:val="none"/>
        </w:rPr>
      </w:pPr>
    </w:p>
    <w:p w14:paraId="00231565">
      <w:pPr>
        <w:spacing w:before="156" w:beforeLines="50" w:line="480" w:lineRule="auto"/>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陕西省农业机械化发展中心</w:t>
      </w:r>
      <w:r>
        <w:rPr>
          <w:rFonts w:hint="eastAsia" w:ascii="仿宋" w:hAnsi="仿宋" w:eastAsia="仿宋" w:cs="仿宋"/>
          <w:b/>
          <w:bCs/>
          <w:color w:val="auto"/>
          <w:sz w:val="32"/>
          <w:szCs w:val="32"/>
          <w:highlight w:val="none"/>
          <w:lang w:val="en-US" w:eastAsia="zh-CN"/>
        </w:rPr>
        <w:t>2026年机关廉政灶委托服务项目</w:t>
      </w:r>
      <w:bookmarkStart w:id="0" w:name="_GoBack"/>
      <w:bookmarkEnd w:id="0"/>
      <w:r>
        <w:rPr>
          <w:rFonts w:hint="eastAsia" w:ascii="仿宋" w:hAnsi="仿宋" w:eastAsia="仿宋" w:cs="仿宋"/>
          <w:b/>
          <w:bCs/>
          <w:color w:val="auto"/>
          <w:sz w:val="32"/>
          <w:szCs w:val="32"/>
          <w:highlight w:val="none"/>
        </w:rPr>
        <w:t>服务合同</w:t>
      </w:r>
    </w:p>
    <w:p w14:paraId="60F956E0">
      <w:pPr>
        <w:spacing w:before="156" w:beforeLines="50" w:line="480" w:lineRule="auto"/>
        <w:jc w:val="center"/>
        <w:rPr>
          <w:rFonts w:hint="eastAsia" w:ascii="仿宋" w:hAnsi="仿宋" w:eastAsia="仿宋" w:cs="仿宋"/>
          <w:b/>
          <w:bCs/>
          <w:color w:val="auto"/>
          <w:sz w:val="32"/>
          <w:szCs w:val="32"/>
          <w:highlight w:val="none"/>
        </w:rPr>
      </w:pPr>
      <w:r>
        <w:rPr>
          <w:rFonts w:hint="eastAsia" w:ascii="仿宋" w:hAnsi="仿宋" w:eastAsia="仿宋" w:cs="仿宋"/>
          <w:b/>
          <w:color w:val="auto"/>
          <w:sz w:val="32"/>
          <w:szCs w:val="32"/>
          <w:highlight w:val="none"/>
          <w:u w:val="single"/>
        </w:rPr>
        <w:t>合同编号：</w:t>
      </w:r>
    </w:p>
    <w:p w14:paraId="5AF6FCF9">
      <w:pPr>
        <w:pStyle w:val="5"/>
        <w:rPr>
          <w:rFonts w:hint="eastAsia" w:ascii="仿宋" w:hAnsi="仿宋" w:eastAsia="仿宋" w:cs="仿宋"/>
          <w:color w:val="auto"/>
          <w:sz w:val="24"/>
          <w:szCs w:val="32"/>
          <w:highlight w:val="none"/>
        </w:rPr>
      </w:pPr>
    </w:p>
    <w:p w14:paraId="541C5DBB">
      <w:pPr>
        <w:pStyle w:val="8"/>
        <w:rPr>
          <w:rFonts w:hint="eastAsia" w:ascii="仿宋" w:hAnsi="仿宋" w:eastAsia="仿宋" w:cs="仿宋"/>
          <w:color w:val="auto"/>
          <w:sz w:val="24"/>
          <w:szCs w:val="32"/>
          <w:highlight w:val="none"/>
        </w:rPr>
      </w:pPr>
    </w:p>
    <w:p w14:paraId="2DD60D72">
      <w:pPr>
        <w:rPr>
          <w:rFonts w:hint="eastAsia" w:ascii="仿宋" w:hAnsi="仿宋" w:eastAsia="仿宋" w:cs="仿宋"/>
          <w:color w:val="auto"/>
          <w:sz w:val="24"/>
          <w:szCs w:val="32"/>
          <w:highlight w:val="none"/>
        </w:rPr>
      </w:pPr>
    </w:p>
    <w:p w14:paraId="5A95CCFA">
      <w:pPr>
        <w:pStyle w:val="5"/>
        <w:rPr>
          <w:rFonts w:hint="eastAsia" w:ascii="仿宋" w:hAnsi="仿宋" w:eastAsia="仿宋" w:cs="仿宋"/>
          <w:color w:val="auto"/>
          <w:sz w:val="24"/>
          <w:szCs w:val="32"/>
          <w:highlight w:val="none"/>
        </w:rPr>
      </w:pPr>
    </w:p>
    <w:p w14:paraId="1FC6FC19">
      <w:pPr>
        <w:pStyle w:val="7"/>
        <w:spacing w:after="156" w:afterLines="50" w:line="500" w:lineRule="exact"/>
        <w:ind w:left="0" w:leftChars="0"/>
        <w:rPr>
          <w:rFonts w:hint="eastAsia" w:ascii="仿宋" w:hAnsi="仿宋" w:eastAsia="仿宋" w:cs="仿宋"/>
          <w:color w:val="auto"/>
          <w:sz w:val="32"/>
          <w:szCs w:val="32"/>
          <w:highlight w:val="none"/>
          <w:lang w:val="zh-CN"/>
        </w:rPr>
      </w:pPr>
    </w:p>
    <w:p w14:paraId="6BE9754D">
      <w:pPr>
        <w:pStyle w:val="7"/>
        <w:spacing w:after="156" w:afterLines="50" w:line="500" w:lineRule="exact"/>
        <w:ind w:left="0" w:leftChars="0"/>
        <w:rPr>
          <w:rFonts w:hint="eastAsia" w:ascii="仿宋" w:hAnsi="仿宋" w:eastAsia="仿宋" w:cs="仿宋"/>
          <w:color w:val="auto"/>
          <w:sz w:val="32"/>
          <w:szCs w:val="32"/>
          <w:highlight w:val="none"/>
          <w:lang w:val="zh-CN"/>
        </w:rPr>
      </w:pPr>
    </w:p>
    <w:p w14:paraId="6517B36A">
      <w:pPr>
        <w:pStyle w:val="7"/>
        <w:spacing w:after="156" w:afterLines="50" w:line="500" w:lineRule="exact"/>
        <w:ind w:left="0" w:leftChars="0" w:firstLine="1280" w:firstLineChars="400"/>
        <w:rPr>
          <w:rFonts w:hint="eastAsia" w:ascii="仿宋" w:hAnsi="仿宋" w:eastAsia="仿宋" w:cs="仿宋"/>
          <w:color w:val="auto"/>
          <w:sz w:val="32"/>
          <w:szCs w:val="32"/>
          <w:highlight w:val="none"/>
          <w:lang w:val="zh-CN"/>
        </w:rPr>
      </w:pPr>
    </w:p>
    <w:p w14:paraId="11A7ED1D">
      <w:pPr>
        <w:pStyle w:val="7"/>
        <w:spacing w:after="156" w:afterLines="50" w:line="500" w:lineRule="exact"/>
        <w:ind w:left="0" w:leftChars="0" w:firstLine="1280" w:firstLineChars="400"/>
        <w:rPr>
          <w:rFonts w:hint="eastAsia" w:ascii="仿宋" w:hAnsi="仿宋" w:eastAsia="仿宋" w:cs="仿宋"/>
          <w:color w:val="auto"/>
          <w:sz w:val="32"/>
          <w:szCs w:val="32"/>
          <w:highlight w:val="none"/>
          <w:lang w:val="zh-CN"/>
        </w:rPr>
      </w:pPr>
    </w:p>
    <w:p w14:paraId="540C2DDC">
      <w:pPr>
        <w:pStyle w:val="7"/>
        <w:spacing w:after="156" w:afterLines="50" w:line="500" w:lineRule="exact"/>
        <w:ind w:left="0" w:leftChars="0" w:firstLine="1280" w:firstLineChars="400"/>
        <w:rPr>
          <w:rFonts w:hint="eastAsia" w:ascii="仿宋" w:hAnsi="仿宋" w:eastAsia="仿宋" w:cs="仿宋"/>
          <w:color w:val="auto"/>
          <w:sz w:val="32"/>
          <w:szCs w:val="32"/>
          <w:highlight w:val="none"/>
          <w:lang w:val="zh-CN"/>
        </w:rPr>
      </w:pPr>
    </w:p>
    <w:p w14:paraId="43ABF1EB">
      <w:pPr>
        <w:pStyle w:val="7"/>
        <w:spacing w:after="156" w:afterLines="50" w:line="500" w:lineRule="exact"/>
        <w:ind w:left="0" w:leftChars="0" w:firstLine="1920" w:firstLineChars="600"/>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甲</w:t>
      </w:r>
      <w:r>
        <w:rPr>
          <w:rFonts w:hint="eastAsia"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lang w:val="zh-CN"/>
        </w:rPr>
        <w:t>方：</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p>
    <w:p w14:paraId="62F39B92">
      <w:pPr>
        <w:pStyle w:val="7"/>
        <w:spacing w:after="156" w:afterLines="50" w:line="500" w:lineRule="exact"/>
        <w:ind w:left="0" w:leftChars="0" w:firstLine="1920" w:firstLineChars="600"/>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lang w:val="zh-CN"/>
        </w:rPr>
        <w:t xml:space="preserve">乙 </w:t>
      </w:r>
      <w:r>
        <w:rPr>
          <w:rFonts w:hint="eastAsia"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lang w:val="zh-CN"/>
        </w:rPr>
        <w:t>方：</w:t>
      </w:r>
      <w:r>
        <w:rPr>
          <w:rFonts w:hint="eastAsia" w:ascii="仿宋" w:hAnsi="仿宋" w:eastAsia="仿宋" w:cs="仿宋"/>
          <w:color w:val="auto"/>
          <w:sz w:val="32"/>
          <w:szCs w:val="32"/>
          <w:highlight w:val="none"/>
          <w:u w:val="single"/>
          <w:lang w:val="zh-CN"/>
        </w:rPr>
        <w:t xml:space="preserve"> </w:t>
      </w:r>
      <w:r>
        <w:rPr>
          <w:rFonts w:hint="eastAsia" w:ascii="仿宋" w:hAnsi="仿宋" w:eastAsia="仿宋" w:cs="仿宋"/>
          <w:color w:val="auto"/>
          <w:sz w:val="32"/>
          <w:szCs w:val="32"/>
          <w:highlight w:val="none"/>
          <w:u w:val="single"/>
        </w:rPr>
        <w:t xml:space="preserve">                      </w:t>
      </w:r>
    </w:p>
    <w:p w14:paraId="3F9BDF4F">
      <w:pPr>
        <w:pStyle w:val="7"/>
        <w:spacing w:after="156" w:afterLines="50" w:line="500" w:lineRule="exact"/>
        <w:ind w:left="0" w:leftChars="0"/>
        <w:jc w:val="center"/>
        <w:rPr>
          <w:rFonts w:hint="eastAsia" w:ascii="仿宋" w:hAnsi="仿宋" w:eastAsia="仿宋" w:cs="仿宋"/>
          <w:color w:val="auto"/>
          <w:sz w:val="32"/>
          <w:szCs w:val="32"/>
          <w:highlight w:val="none"/>
          <w:lang w:val="zh-CN"/>
        </w:rPr>
      </w:pPr>
      <w:r>
        <w:rPr>
          <w:rFonts w:hint="eastAsia" w:ascii="仿宋" w:hAnsi="仿宋" w:eastAsia="仿宋" w:cs="仿宋"/>
          <w:color w:val="auto"/>
          <w:sz w:val="32"/>
          <w:szCs w:val="32"/>
          <w:highlight w:val="none"/>
          <w:u w:val="single"/>
          <w:lang w:val="zh-CN"/>
        </w:rPr>
        <w:t xml:space="preserve">  20</w:t>
      </w:r>
      <w:r>
        <w:rPr>
          <w:rFonts w:hint="eastAsia" w:ascii="仿宋" w:hAnsi="仿宋" w:eastAsia="仿宋" w:cs="仿宋"/>
          <w:color w:val="auto"/>
          <w:sz w:val="32"/>
          <w:szCs w:val="32"/>
          <w:highlight w:val="none"/>
          <w:u w:val="single"/>
          <w:lang w:val="en-US" w:eastAsia="zh-CN"/>
        </w:rPr>
        <w:t>26</w:t>
      </w:r>
      <w:r>
        <w:rPr>
          <w:rFonts w:hint="eastAsia" w:ascii="仿宋" w:hAnsi="仿宋" w:eastAsia="仿宋" w:cs="仿宋"/>
          <w:color w:val="auto"/>
          <w:sz w:val="32"/>
          <w:szCs w:val="32"/>
          <w:highlight w:val="none"/>
          <w:lang w:val="zh-CN"/>
        </w:rPr>
        <w:t>年</w:t>
      </w:r>
      <w:r>
        <w:rPr>
          <w:rFonts w:hint="eastAsia" w:ascii="仿宋" w:hAnsi="仿宋" w:eastAsia="仿宋" w:cs="仿宋"/>
          <w:color w:val="auto"/>
          <w:sz w:val="32"/>
          <w:szCs w:val="32"/>
          <w:highlight w:val="none"/>
          <w:u w:val="single"/>
          <w:lang w:val="zh-CN"/>
        </w:rPr>
        <w:t xml:space="preserve">     </w:t>
      </w:r>
      <w:r>
        <w:rPr>
          <w:rFonts w:hint="eastAsia" w:ascii="仿宋" w:hAnsi="仿宋" w:eastAsia="仿宋" w:cs="仿宋"/>
          <w:color w:val="auto"/>
          <w:sz w:val="32"/>
          <w:szCs w:val="32"/>
          <w:highlight w:val="none"/>
          <w:lang w:val="zh-CN"/>
        </w:rPr>
        <w:t>月</w:t>
      </w:r>
    </w:p>
    <w:p w14:paraId="58A3F91D">
      <w:pPr>
        <w:spacing w:line="360" w:lineRule="auto"/>
        <w:rPr>
          <w:rFonts w:hint="eastAsia" w:ascii="仿宋" w:hAnsi="仿宋" w:eastAsia="仿宋" w:cs="仿宋"/>
          <w:b/>
          <w:color w:val="auto"/>
          <w:sz w:val="24"/>
          <w:szCs w:val="24"/>
          <w:highlight w:val="none"/>
        </w:rPr>
      </w:pPr>
      <w:r>
        <w:rPr>
          <w:rFonts w:hint="eastAsia" w:ascii="仿宋" w:hAnsi="仿宋" w:eastAsia="仿宋" w:cs="仿宋"/>
          <w:color w:val="auto"/>
          <w:sz w:val="32"/>
          <w:szCs w:val="32"/>
          <w:highlight w:val="none"/>
        </w:rPr>
        <w:br w:type="page"/>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b/>
          <w:color w:val="auto"/>
          <w:sz w:val="24"/>
          <w:szCs w:val="24"/>
          <w:highlight w:val="none"/>
        </w:rPr>
        <w:t>委托方（甲方）：</w:t>
      </w:r>
      <w:r>
        <w:rPr>
          <w:rFonts w:hint="eastAsia" w:ascii="仿宋" w:hAnsi="仿宋" w:eastAsia="仿宋" w:cs="仿宋"/>
          <w:b/>
          <w:bCs/>
          <w:color w:val="auto"/>
          <w:sz w:val="24"/>
          <w:szCs w:val="24"/>
          <w:highlight w:val="none"/>
        </w:rPr>
        <w:t>陕西省农业机械化发展中心</w:t>
      </w:r>
    </w:p>
    <w:p w14:paraId="094A88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3EF1C5F3">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项目联系人：</w:t>
      </w:r>
    </w:p>
    <w:p w14:paraId="4358204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p>
    <w:p w14:paraId="3244D8F7">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w:t>
      </w:r>
    </w:p>
    <w:p w14:paraId="61CB8004">
      <w:pPr>
        <w:pStyle w:val="8"/>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2575B97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p>
    <w:p w14:paraId="50B5ABB2">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 xml:space="preserve">受托方（乙方）： </w:t>
      </w:r>
    </w:p>
    <w:p w14:paraId="0824D01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p w14:paraId="5192C579">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项目联系人：</w:t>
      </w:r>
    </w:p>
    <w:p w14:paraId="53B8BB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联系方式：</w:t>
      </w:r>
    </w:p>
    <w:p w14:paraId="4157B94F">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w:t>
      </w:r>
    </w:p>
    <w:p w14:paraId="7CAF3466">
      <w:pPr>
        <w:pStyle w:val="8"/>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1BB26E5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p>
    <w:p w14:paraId="55F6A85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为保障双方权益，经甲乙双方协议商定，乙方为甲方提供约定服务。根据《民法典》及相应的法律法规，甲乙双方本着公平、自愿的原则签订以下协议：</w:t>
      </w:r>
    </w:p>
    <w:p w14:paraId="027DACB2">
      <w:pPr>
        <w:pStyle w:val="5"/>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一、服务的目标、要求及内容</w:t>
      </w:r>
    </w:p>
    <w:p w14:paraId="56A898DD">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1.服务的目标：</w:t>
      </w:r>
    </w:p>
    <w:p w14:paraId="7D9B1272">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甲方同意将陕西省农业机械化发展中心餐厅及相关指定区域的保洁委托乙方服务，为加强管理，明确双方的权利和义务。</w:t>
      </w:r>
    </w:p>
    <w:p w14:paraId="5765629B">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2.服务要求：</w:t>
      </w:r>
    </w:p>
    <w:p w14:paraId="1EF97AE0">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*（1）服务地点（项目地点）：采购人指定地点</w:t>
      </w:r>
    </w:p>
    <w:p w14:paraId="454C5FE7">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*（2）服务期限：1年</w:t>
      </w:r>
    </w:p>
    <w:p w14:paraId="4FD08DED">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（3）乙方工作人员负责将每天食品留样48小时，以备查验；</w:t>
      </w:r>
    </w:p>
    <w:p w14:paraId="7E05F2D9">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（4）乙方工作人员需持有效“健康证”上岗；</w:t>
      </w:r>
    </w:p>
    <w:p w14:paraId="659E4323">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3.服务的内容及方式：</w:t>
      </w:r>
    </w:p>
    <w:p w14:paraId="4D6F4E66">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（1）乙方负责为甲方提供法定工作日职工餐厅原材料采购及早、中餐加工制作服务（如遇临时接待，节假日加班，乙方服务时间与甲方保持一致）；</w:t>
      </w:r>
    </w:p>
    <w:p w14:paraId="69FAB69F">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（2）乙方合理安排膳食供应，在保证甲方员工就餐的前提下，做好节约，避免浪费；甲方后期若增加就餐人数或其他餐饮服务，需提前与乙方沟通协商；</w:t>
      </w:r>
    </w:p>
    <w:p w14:paraId="6DC2D57D">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（3）乙方每周四编制下周菜单，报甲方审核，乙方按甲方审核后的菜单拟定原材料采购计划。</w:t>
      </w:r>
    </w:p>
    <w:p w14:paraId="4B728A73">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（4）保洁服务：食品区域卫生保洁方案，乙方负责保洁用品用具，卫生间厕纸、擦手纸和洗手液费用。</w:t>
      </w:r>
    </w:p>
    <w:p w14:paraId="6D6F5338">
      <w:pPr>
        <w:pStyle w:val="5"/>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二、费用结算及方式</w:t>
      </w:r>
    </w:p>
    <w:p w14:paraId="57D22D58">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1.甲方向乙方支付本协议项下服务费用合计人民币：（含增值税金额）：</w:t>
      </w:r>
    </w:p>
    <w:p w14:paraId="4DD84E10">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6A11BF0B">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（小写）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2DEDF40">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2.服务费用支付： </w:t>
      </w:r>
    </w:p>
    <w:p w14:paraId="63DD5AB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yellow"/>
        </w:rPr>
        <w:t>合同签订后首月支付合同金额的40%，第一季度结束支付合同金额的25%， 第二季度结束支付合同金额的25%，本项目服务完成且验收考核合格后支付剩余的10%。</w:t>
      </w:r>
    </w:p>
    <w:p w14:paraId="47EE38C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2）支付方式：银行转账。</w:t>
      </w:r>
    </w:p>
    <w:p w14:paraId="58854EF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3）结算方式：供应商持验收书，发票（按合同总价开具），成交通知书、供货合同，与采购人结算。</w:t>
      </w:r>
    </w:p>
    <w:p w14:paraId="0D2BA353">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3.乙方指定的银行账户信息如下：</w:t>
      </w:r>
    </w:p>
    <w:p w14:paraId="7155B6E9">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开户名： </w:t>
      </w:r>
    </w:p>
    <w:p w14:paraId="3C10EA6A">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p>
    <w:p w14:paraId="2BCC6E44">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p>
    <w:p w14:paraId="31EB467D">
      <w:pPr>
        <w:pStyle w:val="5"/>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三、履约期限</w:t>
      </w:r>
    </w:p>
    <w:p w14:paraId="0171F923">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本合同自双方法定代表人或授权代表签字并加盖公司印章之日起生效，合同有效期自</w:t>
      </w:r>
      <w:r>
        <w:rPr>
          <w:rFonts w:hint="eastAsia" w:ascii="仿宋" w:hAnsi="仿宋" w:eastAsia="仿宋" w:cs="仿宋"/>
          <w:color w:val="auto"/>
          <w:sz w:val="24"/>
          <w:szCs w:val="24"/>
          <w:highlight w:val="none"/>
          <w:u w:val="single"/>
        </w:rPr>
        <w:t>202</w:t>
      </w:r>
      <w:r>
        <w:rPr>
          <w:rFonts w:hint="eastAsia" w:ascii="仿宋" w:hAnsi="仿宋" w:eastAsia="仿宋" w:cs="仿宋"/>
          <w:color w:val="auto"/>
          <w:sz w:val="24"/>
          <w:szCs w:val="24"/>
          <w:highlight w:val="none"/>
          <w:u w:val="single"/>
          <w:lang w:val="en-US" w:eastAsia="zh-CN"/>
        </w:rPr>
        <w:t>6</w:t>
      </w:r>
      <w:r>
        <w:rPr>
          <w:rFonts w:hint="eastAsia" w:ascii="仿宋" w:hAnsi="仿宋" w:eastAsia="仿宋" w:cs="仿宋"/>
          <w:color w:val="auto"/>
          <w:sz w:val="24"/>
          <w:szCs w:val="24"/>
          <w:highlight w:val="none"/>
          <w:u w:val="single"/>
        </w:rPr>
        <w:t>年 月 日起至202</w:t>
      </w:r>
      <w:r>
        <w:rPr>
          <w:rFonts w:hint="eastAsia" w:ascii="仿宋" w:hAnsi="仿宋" w:eastAsia="仿宋" w:cs="仿宋"/>
          <w:color w:val="auto"/>
          <w:sz w:val="24"/>
          <w:szCs w:val="24"/>
          <w:highlight w:val="none"/>
          <w:u w:val="single"/>
          <w:lang w:val="en-US" w:eastAsia="zh-CN"/>
        </w:rPr>
        <w:t>7</w:t>
      </w:r>
      <w:r>
        <w:rPr>
          <w:rFonts w:hint="eastAsia" w:ascii="仿宋" w:hAnsi="仿宋" w:eastAsia="仿宋" w:cs="仿宋"/>
          <w:color w:val="auto"/>
          <w:sz w:val="24"/>
          <w:szCs w:val="24"/>
          <w:highlight w:val="none"/>
          <w:u w:val="single"/>
        </w:rPr>
        <w:t>年 月   日</w:t>
      </w:r>
      <w:r>
        <w:rPr>
          <w:rFonts w:hint="eastAsia" w:ascii="仿宋" w:hAnsi="仿宋" w:eastAsia="仿宋" w:cs="仿宋"/>
          <w:color w:val="auto"/>
          <w:sz w:val="24"/>
          <w:szCs w:val="24"/>
          <w:highlight w:val="none"/>
        </w:rPr>
        <w:t>，合同履行期限为1年。</w:t>
      </w:r>
    </w:p>
    <w:p w14:paraId="5FE50EBB">
      <w:pPr>
        <w:pStyle w:val="5"/>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四、保密</w:t>
      </w:r>
    </w:p>
    <w:p w14:paraId="468855D2">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应遵守的保密义务如下：乙方不得将甲方经营、生产状况及技术资料等以任何方式泄露给第三方，但以下情况除外：本合同签署前乙方得到甲方已公开的信息；甲方在本单位范围外已公开的资料；法律另有要求时以及国家主管部门要求时。</w:t>
      </w:r>
    </w:p>
    <w:p w14:paraId="2BD24749">
      <w:pPr>
        <w:pStyle w:val="5"/>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五、合同的变更与解除</w:t>
      </w:r>
    </w:p>
    <w:p w14:paraId="5B274013">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1.本合同签署后，合同双方同意在下述任一情况发生时，双方可以协商变更本合同：</w:t>
      </w:r>
    </w:p>
    <w:p w14:paraId="224D3A7D">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（1）合同双方经协商一致，同意变更的；</w:t>
      </w:r>
    </w:p>
    <w:p w14:paraId="30E778D3">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（2）国家法律法规政策发生变化，合同需要做出相应变更的；</w:t>
      </w:r>
    </w:p>
    <w:p w14:paraId="1E7DB2FF">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（3）合同双方任一方发生管理体制或名称变更、合并、分立时，甲方类型发生重大变化的。</w:t>
      </w:r>
    </w:p>
    <w:p w14:paraId="7E75234D">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合同变更应由协议双方协商一致，对需要变更的部分达成新的修改意见。在未达成新的变更意见前，原合同（协议）继续有效。</w:t>
      </w:r>
    </w:p>
    <w:p w14:paraId="1C91503F">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2.本合同出现下列事项时，甲方有权单方解除本合同：</w:t>
      </w:r>
    </w:p>
    <w:p w14:paraId="011F0652">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（1）乙方拒绝按照本合同规定的内容提供技术服务，或乙方故意或重大过失导致其提供的服务不能达到本合同的要求，致甲方不能实现合同目的；</w:t>
      </w:r>
    </w:p>
    <w:p w14:paraId="3E685F26">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（2）乙方在服务过程中严重懈怠，每年出现三次以上不能按要求完成服务工作致甲方不能实现合同目的：</w:t>
      </w:r>
    </w:p>
    <w:p w14:paraId="1F1974F5">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3.甲方根据双方约定，单方解除本合同时，应以书面方式通知乙方。自乙方收到甲方发出解除合同的书面通知之日起30日后，合同解除。</w:t>
      </w:r>
    </w:p>
    <w:p w14:paraId="02FDF8B8">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4.甲方乙方解除合同后，合同尚未履行的，不再履行。如因甲方原因导致的解除，已经履行的部分，甲方支付相应的费用。</w:t>
      </w:r>
    </w:p>
    <w:p w14:paraId="5CD5052E">
      <w:pPr>
        <w:pStyle w:val="5"/>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六、双方责任与义务</w:t>
      </w:r>
    </w:p>
    <w:p w14:paraId="22B1A23C">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1.甲方责任与义务：</w:t>
      </w:r>
    </w:p>
    <w:p w14:paraId="02008437">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无偿向乙方提供厨房场地和用具的使用权。进场前方负责将厨房设备基础设施（含灭火器、灭火毯等）装修、配备完成，所有物品经清点（按清单双方签字）交付乙方使用，若双方合同终止，乙方将上述物品交还甲方，如有遗失、损坏，乙方负责赔偿（自然损耗除外）；</w:t>
      </w:r>
    </w:p>
    <w:p w14:paraId="3C5E8390">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内，若餐厅需要增加或更新厨具、设备、餐具、用具用品时，乙方以书面形式向甲方提出申请，征得甲方同意后添置，并计入物品清单；添加、更新设施设备、物品用具费用及厨房设施设备维修费由双方协商支付，报废设备交由甲方处理；</w:t>
      </w:r>
    </w:p>
    <w:p w14:paraId="4A7F1CE0">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（3）服务费由甲方按本合同约定向乙方支付，服务期产生的费用（水、电、气等）均由甲方承担；</w:t>
      </w:r>
    </w:p>
    <w:p w14:paraId="08463781">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（4）甲方按服务合同约定监督乙方认真履行合同，按期向乙方支付服务费用，同时做好指导和协调工作；</w:t>
      </w:r>
    </w:p>
    <w:p w14:paraId="6B598B3F">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（5）甲方对乙方的配菜、营养搭配、服务水平及食品卫生、环境卫生等方面进行监督，并有权要求乙方及时整改；</w:t>
      </w:r>
    </w:p>
    <w:p w14:paraId="109C13AE">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（6）甲方如对乙方服务人员不满意，有权要求乙方更换人员，但需提前7个工作日告知；</w:t>
      </w:r>
    </w:p>
    <w:p w14:paraId="0B54BA5E">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（7）甲方负责在服务区域内配备有效的消防器材及设施，并按规定进行年检；</w:t>
      </w:r>
    </w:p>
    <w:p w14:paraId="210E5773">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（8）甲方如需乙方加班提供用餐服务，需提前通知乙方，保障乙方有足够的时间做准备。</w:t>
      </w:r>
    </w:p>
    <w:p w14:paraId="3D6FA1DA">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2.乙方责任与义务：</w:t>
      </w:r>
    </w:p>
    <w:p w14:paraId="0E395F8E">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（1）乙方工作人员负责将每天食品留样48小时，以备查验；</w:t>
      </w:r>
    </w:p>
    <w:p w14:paraId="5CB3A00B">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（2）乙方工作人员需持有效“健康证”上岗；</w:t>
      </w:r>
    </w:p>
    <w:p w14:paraId="7AF37AE9">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（3）乙方每周四编制下周菜单，报甲方审核，乙方按甲方审核后的菜单拟定原材料采购计划；</w:t>
      </w:r>
    </w:p>
    <w:p w14:paraId="00DF56C4">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（4）乙方合理安排膳食供应，在保证甲方员工就餐的前提下，做好节约，避免浪费；</w:t>
      </w:r>
    </w:p>
    <w:p w14:paraId="25D9CE2E">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（5）厨房每日的残渣剩饭和垃圾由乙方运送至甲方指定地点；</w:t>
      </w:r>
    </w:p>
    <w:p w14:paraId="2F56F236">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（6）未经甲方同意，乙方不得擅自对餐厅设施做任何改动；</w:t>
      </w:r>
    </w:p>
    <w:p w14:paraId="332AE952">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（7）未经甲方同意，乙方不得收取甲方就餐人员任何费用，不得擅自转让承包或变相转让他人经营，不得对外经营；</w:t>
      </w:r>
    </w:p>
    <w:p w14:paraId="5045872D">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（8）乙方接受甲方的监督和指导，认真履行合同；工作人员必须遵守甲方的各项安全、治安、消防等规章制度；工作期间杜绝长明灯、长流水，做好水、电、气等节约使用；</w:t>
      </w:r>
    </w:p>
    <w:p w14:paraId="3E44FB20">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（9）乙方负责经营期间服务人员的聘用，聘用人员与甲方无劳动关系；</w:t>
      </w:r>
    </w:p>
    <w:p w14:paraId="332791BA">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（10）乙方用工自身的安全、人身伤害以及对其他第三人的伤害等均由乙方负责，若给甲方造成不良后果的应承担相应赔偿责任；</w:t>
      </w:r>
    </w:p>
    <w:p w14:paraId="75D76C56">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（11）非乙方责任造成的损失，乙方不承担责任；</w:t>
      </w:r>
    </w:p>
    <w:p w14:paraId="0902C74A">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（12）乙方有自主选聘人员、决定薪酬的权利。</w:t>
      </w:r>
    </w:p>
    <w:p w14:paraId="4CB22FB9">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（13）服务期产生的人工费、低值易耗品费用由乙方承担；</w:t>
      </w:r>
    </w:p>
    <w:p w14:paraId="35DB358D">
      <w:pPr>
        <w:pStyle w:val="5"/>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七、双方违约责任</w:t>
      </w:r>
    </w:p>
    <w:p w14:paraId="2318506E">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1.乙方未能按时完成每日工作，超过三次以上，甲方有权向乙方收取合同总额的1%的违约金。</w:t>
      </w:r>
    </w:p>
    <w:p w14:paraId="22F6FBE0">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2.除本合同明确规定的终止条款外，任何单方面终止本合同的行为均视为违约。违约方应向对方赔偿因合约提前终止而直接引致的一切损失。</w:t>
      </w:r>
    </w:p>
    <w:p w14:paraId="6FE7FC32">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3.除上述各项规定外，本合同任何一方若有违约行为，均应在收到另一方通知后七天内予以更正，本合同另有规定的除外；逾期未能更正，另一方保留索赔的权利。</w:t>
      </w:r>
    </w:p>
    <w:p w14:paraId="66E7E0AE">
      <w:pPr>
        <w:pStyle w:val="5"/>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八、不可抗力</w:t>
      </w:r>
    </w:p>
    <w:p w14:paraId="415BD347">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1.本合同涉及不可抗力指火灾、地震、洪水、暴乱、战争等不能预见、无法避免的客观情况。</w:t>
      </w:r>
    </w:p>
    <w:p w14:paraId="0A3DD449">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2.因不可抗力原因造成本合同一方无法履行本合同的，遭受不可抗力的一方全部或部分免责。</w:t>
      </w:r>
    </w:p>
    <w:p w14:paraId="502C684E">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3.遭受不可抗力的一方应于不可抗力情形结束之日起7日内，以书面方式向对方提交有关政府就该次不可抗力发生出具的证明文件。</w:t>
      </w:r>
    </w:p>
    <w:p w14:paraId="4F75E260">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4.因不可抗力原因造成本合同部分不能履行的，甲乙双方可就合同的继续履行签订补充协议。</w:t>
      </w:r>
    </w:p>
    <w:p w14:paraId="5C91DD06">
      <w:pPr>
        <w:pStyle w:val="5"/>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九、争议解决</w:t>
      </w:r>
    </w:p>
    <w:p w14:paraId="20EFC162">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1.凡与本合同有关而引起的一切争议，双方首先通过友好协商解决，如经协商后仍不能达成协议时，任何一方可以提交西安仲裁委员会申请仲裁。</w:t>
      </w:r>
    </w:p>
    <w:p w14:paraId="12FCD023">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2.在进行仲裁或法院审理期间，除提交仲裁或法院审理的事项外，合同仍应继续履行。</w:t>
      </w:r>
    </w:p>
    <w:p w14:paraId="1A98D292">
      <w:pPr>
        <w:pStyle w:val="5"/>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1BA01C58">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1.本合同一式陆份，甲方执叁份，乙方执叁份，具有同等法律效力。本合同附件为本合同不可分割的有效组成部分，与本合同具有同等法律效力。</w:t>
      </w:r>
    </w:p>
    <w:p w14:paraId="459FF8B4">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2、合同签订地点：西安市碑林区。</w:t>
      </w:r>
    </w:p>
    <w:p w14:paraId="7A5BDA77">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w:t>
      </w:r>
    </w:p>
    <w:p w14:paraId="1DC18C4E">
      <w:pPr>
        <w:pStyle w:val="5"/>
        <w:spacing w:line="360" w:lineRule="auto"/>
        <w:ind w:firstLine="48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十二、附表：</w:t>
      </w:r>
      <w:r>
        <w:rPr>
          <w:rFonts w:hint="eastAsia" w:ascii="仿宋" w:hAnsi="仿宋" w:eastAsia="仿宋" w:cs="仿宋"/>
          <w:color w:val="auto"/>
          <w:sz w:val="24"/>
          <w:szCs w:val="24"/>
          <w:highlight w:val="none"/>
        </w:rPr>
        <w:t>服务评审满意度考核标准（签订合同时约定）</w:t>
      </w:r>
    </w:p>
    <w:p w14:paraId="005459F2">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1.甲方根据合同约定的服务评审满意度考核标准对乙方进行考评。</w:t>
      </w:r>
    </w:p>
    <w:p w14:paraId="21D01FEC">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2.甲方委托乙方对廉政灶外包进行全面运营管理，管理过程由甲方全权监督。</w:t>
      </w:r>
    </w:p>
    <w:p w14:paraId="06B16BF5">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3.甲方对乙方实行监督考核，根据考核情况调整奖惩措施。</w:t>
      </w:r>
    </w:p>
    <w:p w14:paraId="4661F065">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4.甲方有权要求乙方采取具体措施立即整改，如整改不到位，甲方有权进行相应的处罚，严重者解除终止合同。</w:t>
      </w:r>
    </w:p>
    <w:p w14:paraId="550A9567">
      <w:pPr>
        <w:pStyle w:val="5"/>
        <w:spacing w:line="360" w:lineRule="auto"/>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5.甲方负责落实项目实施的全过程监督规则，并根据项目要求及时作出调整。</w:t>
      </w:r>
    </w:p>
    <w:p w14:paraId="1AE2116F">
      <w:pPr>
        <w:spacing w:line="360" w:lineRule="auto"/>
        <w:rPr>
          <w:rFonts w:hint="eastAsia" w:ascii="仿宋" w:hAnsi="仿宋" w:eastAsia="仿宋" w:cs="仿宋"/>
          <w:b/>
          <w:bCs/>
          <w:color w:val="auto"/>
          <w:sz w:val="24"/>
          <w:szCs w:val="24"/>
          <w:highlight w:val="none"/>
        </w:rPr>
      </w:pPr>
    </w:p>
    <w:tbl>
      <w:tblPr>
        <w:tblStyle w:val="9"/>
        <w:tblW w:w="8680" w:type="dxa"/>
        <w:tblInd w:w="-106" w:type="dxa"/>
        <w:tblLayout w:type="fixed"/>
        <w:tblCellMar>
          <w:top w:w="0" w:type="dxa"/>
          <w:left w:w="108" w:type="dxa"/>
          <w:bottom w:w="0" w:type="dxa"/>
          <w:right w:w="108" w:type="dxa"/>
        </w:tblCellMar>
      </w:tblPr>
      <w:tblGrid>
        <w:gridCol w:w="4183"/>
        <w:gridCol w:w="4497"/>
      </w:tblGrid>
      <w:tr w14:paraId="73A60B22">
        <w:tblPrEx>
          <w:tblCellMar>
            <w:top w:w="0" w:type="dxa"/>
            <w:left w:w="108" w:type="dxa"/>
            <w:bottom w:w="0" w:type="dxa"/>
            <w:right w:w="108" w:type="dxa"/>
          </w:tblCellMar>
        </w:tblPrEx>
        <w:trPr>
          <w:trHeight w:val="863" w:hRule="atLeast"/>
        </w:trPr>
        <w:tc>
          <w:tcPr>
            <w:tcW w:w="4183" w:type="dxa"/>
            <w:noWrap w:val="0"/>
            <w:vAlign w:val="center"/>
          </w:tcPr>
          <w:p w14:paraId="0FA62864">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甲方（签章）：</w:t>
            </w:r>
          </w:p>
          <w:p w14:paraId="095C57C0">
            <w:pPr>
              <w:spacing w:line="360" w:lineRule="auto"/>
              <w:rPr>
                <w:rFonts w:hint="eastAsia" w:ascii="仿宋" w:hAnsi="仿宋" w:eastAsia="仿宋" w:cs="仿宋"/>
                <w:b/>
                <w:bCs/>
                <w:color w:val="auto"/>
                <w:sz w:val="24"/>
                <w:szCs w:val="24"/>
                <w:highlight w:val="none"/>
              </w:rPr>
            </w:pPr>
          </w:p>
        </w:tc>
        <w:tc>
          <w:tcPr>
            <w:tcW w:w="4497" w:type="dxa"/>
            <w:noWrap w:val="0"/>
            <w:vAlign w:val="center"/>
          </w:tcPr>
          <w:p w14:paraId="4CC0297C">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 xml:space="preserve">乙方（签章）：                                                                             </w:t>
            </w:r>
          </w:p>
          <w:p w14:paraId="6F6E33CD">
            <w:pPr>
              <w:spacing w:line="360" w:lineRule="auto"/>
              <w:rPr>
                <w:rFonts w:hint="eastAsia" w:ascii="仿宋" w:hAnsi="仿宋" w:eastAsia="仿宋" w:cs="仿宋"/>
                <w:b/>
                <w:bCs/>
                <w:color w:val="auto"/>
                <w:sz w:val="24"/>
                <w:szCs w:val="24"/>
                <w:highlight w:val="none"/>
              </w:rPr>
            </w:pPr>
          </w:p>
        </w:tc>
      </w:tr>
      <w:tr w14:paraId="32D27434">
        <w:tblPrEx>
          <w:tblCellMar>
            <w:top w:w="0" w:type="dxa"/>
            <w:left w:w="108" w:type="dxa"/>
            <w:bottom w:w="0" w:type="dxa"/>
            <w:right w:w="108" w:type="dxa"/>
          </w:tblCellMar>
        </w:tblPrEx>
        <w:trPr>
          <w:trHeight w:val="863" w:hRule="atLeast"/>
        </w:trPr>
        <w:tc>
          <w:tcPr>
            <w:tcW w:w="4183" w:type="dxa"/>
            <w:noWrap w:val="0"/>
            <w:vAlign w:val="center"/>
          </w:tcPr>
          <w:p w14:paraId="5FC84A6E">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授权代表:</w:t>
            </w:r>
          </w:p>
          <w:p w14:paraId="1B5D7705">
            <w:pPr>
              <w:spacing w:line="360" w:lineRule="auto"/>
              <w:rPr>
                <w:rFonts w:hint="eastAsia" w:ascii="仿宋" w:hAnsi="仿宋" w:eastAsia="仿宋" w:cs="仿宋"/>
                <w:b/>
                <w:bCs/>
                <w:color w:val="auto"/>
                <w:sz w:val="24"/>
                <w:szCs w:val="24"/>
                <w:highlight w:val="none"/>
              </w:rPr>
            </w:pPr>
          </w:p>
        </w:tc>
        <w:tc>
          <w:tcPr>
            <w:tcW w:w="4497" w:type="dxa"/>
            <w:noWrap w:val="0"/>
            <w:vAlign w:val="center"/>
          </w:tcPr>
          <w:p w14:paraId="3415E823">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授权代表:</w:t>
            </w:r>
          </w:p>
          <w:p w14:paraId="3E4FACEB">
            <w:pPr>
              <w:spacing w:line="360" w:lineRule="auto"/>
              <w:rPr>
                <w:rFonts w:hint="eastAsia" w:ascii="仿宋" w:hAnsi="仿宋" w:eastAsia="仿宋" w:cs="仿宋"/>
                <w:b/>
                <w:bCs/>
                <w:color w:val="auto"/>
                <w:sz w:val="24"/>
                <w:szCs w:val="24"/>
                <w:highlight w:val="none"/>
              </w:rPr>
            </w:pPr>
          </w:p>
        </w:tc>
      </w:tr>
      <w:tr w14:paraId="435117DC">
        <w:tblPrEx>
          <w:tblCellMar>
            <w:top w:w="0" w:type="dxa"/>
            <w:left w:w="108" w:type="dxa"/>
            <w:bottom w:w="0" w:type="dxa"/>
            <w:right w:w="108" w:type="dxa"/>
          </w:tblCellMar>
        </w:tblPrEx>
        <w:trPr>
          <w:trHeight w:val="863" w:hRule="atLeast"/>
        </w:trPr>
        <w:tc>
          <w:tcPr>
            <w:tcW w:w="4183" w:type="dxa"/>
            <w:noWrap w:val="0"/>
            <w:vAlign w:val="center"/>
          </w:tcPr>
          <w:p w14:paraId="0AB22AE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签约日期：</w:t>
            </w:r>
          </w:p>
          <w:p w14:paraId="42DF7C07">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年</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月</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日</w:t>
            </w:r>
          </w:p>
        </w:tc>
        <w:tc>
          <w:tcPr>
            <w:tcW w:w="4497" w:type="dxa"/>
            <w:noWrap w:val="0"/>
            <w:vAlign w:val="center"/>
          </w:tcPr>
          <w:p w14:paraId="46957531">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签约日期：</w:t>
            </w:r>
          </w:p>
          <w:p w14:paraId="1CA1913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年</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月</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
                <w:bCs/>
                <w:color w:val="auto"/>
                <w:sz w:val="24"/>
                <w:szCs w:val="24"/>
                <w:highlight w:val="none"/>
              </w:rPr>
              <w:t>日</w:t>
            </w:r>
          </w:p>
        </w:tc>
      </w:tr>
    </w:tbl>
    <w:p w14:paraId="7962E73A">
      <w:pPr>
        <w:pStyle w:val="12"/>
        <w:rPr>
          <w:rFonts w:hint="eastAsia" w:ascii="仿宋" w:hAnsi="仿宋" w:eastAsia="仿宋" w:cs="仿宋"/>
          <w:sz w:val="24"/>
          <w:szCs w:val="24"/>
          <w:lang w:val="en-US" w:eastAsia="zh-Hans"/>
        </w:rPr>
      </w:pPr>
    </w:p>
    <w:p w14:paraId="7D706E67">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77400A"/>
    <w:rsid w:val="13B5754F"/>
    <w:rsid w:val="1C684594"/>
    <w:rsid w:val="347A6591"/>
    <w:rsid w:val="4177400A"/>
    <w:rsid w:val="4C0A06EE"/>
    <w:rsid w:val="6FE86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tabs>
        <w:tab w:val="left" w:pos="8640"/>
      </w:tabs>
      <w:ind w:firstLine="200" w:firstLineChars="200"/>
    </w:pPr>
  </w:style>
  <w:style w:type="paragraph" w:styleId="3">
    <w:name w:val="Body Text Indent"/>
    <w:basedOn w:val="1"/>
    <w:next w:val="4"/>
    <w:qFormat/>
    <w:uiPriority w:val="0"/>
    <w:pPr>
      <w:tabs>
        <w:tab w:val="left" w:pos="8640"/>
      </w:tabs>
      <w:ind w:firstLine="420"/>
    </w:pPr>
    <w:rPr>
      <w:rFonts w:ascii="楷体_GB2312" w:eastAsia="楷体_GB2312"/>
      <w:color w:val="000000"/>
      <w:sz w:val="28"/>
    </w:rPr>
  </w:style>
  <w:style w:type="paragraph" w:styleId="4">
    <w:name w:val="envelope return"/>
    <w:basedOn w:val="1"/>
    <w:unhideWhenUsed/>
    <w:qFormat/>
    <w:uiPriority w:val="99"/>
    <w:pPr>
      <w:snapToGrid w:val="0"/>
    </w:pPr>
    <w:rPr>
      <w:rFonts w:ascii="Arial" w:hAnsi="Arial"/>
    </w:rPr>
  </w:style>
  <w:style w:type="paragraph" w:styleId="5">
    <w:name w:val="Normal Indent"/>
    <w:basedOn w:val="1"/>
    <w:unhideWhenUsed/>
    <w:qFormat/>
    <w:uiPriority w:val="0"/>
    <w:pPr>
      <w:ind w:firstLine="420" w:firstLineChars="200"/>
    </w:pPr>
    <w:rPr>
      <w:rFonts w:ascii="Times New Roman" w:hAnsi="Times New Roman"/>
      <w:szCs w:val="20"/>
    </w:rPr>
  </w:style>
  <w:style w:type="paragraph" w:styleId="6">
    <w:name w:val="Body Text"/>
    <w:basedOn w:val="1"/>
    <w:next w:val="1"/>
    <w:unhideWhenUsed/>
    <w:qFormat/>
    <w:uiPriority w:val="99"/>
    <w:pPr>
      <w:spacing w:after="120"/>
    </w:pPr>
    <w:rPr>
      <w:rFonts w:ascii="Times New Roman" w:hAnsi="Times New Roman"/>
      <w:szCs w:val="20"/>
    </w:rPr>
  </w:style>
  <w:style w:type="paragraph" w:styleId="7">
    <w:name w:val="Body Text Indent 2"/>
    <w:basedOn w:val="1"/>
    <w:qFormat/>
    <w:uiPriority w:val="0"/>
    <w:pPr>
      <w:spacing w:after="120" w:line="480" w:lineRule="auto"/>
      <w:ind w:left="420" w:leftChars="200"/>
    </w:pPr>
    <w:rPr>
      <w:rFonts w:ascii="Times New Roman" w:hAnsi="Times New Roman"/>
      <w:szCs w:val="20"/>
    </w:rPr>
  </w:style>
  <w:style w:type="paragraph" w:styleId="8">
    <w:name w:val="toc 4"/>
    <w:basedOn w:val="1"/>
    <w:next w:val="1"/>
    <w:unhideWhenUsed/>
    <w:qFormat/>
    <w:uiPriority w:val="39"/>
    <w:rPr>
      <w:rFonts w:ascii="Times New Roman" w:hAnsi="Times New Roman"/>
      <w:szCs w:val="20"/>
    </w:rPr>
  </w:style>
  <w:style w:type="paragraph" w:customStyle="1" w:styleId="11">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2">
    <w:name w:val="null3"/>
    <w:qFormat/>
    <w:uiPriority w:val="0"/>
    <w:rPr>
      <w:rFonts w:hint="eastAsia" w:ascii="Calibri" w:hAnsi="Calibri" w:eastAsia="宋体" w:cs="Times New Roman"/>
      <w:lang w:val="en-US" w:eastAsia="zh-Hans" w:bidi="ar-SA"/>
    </w:rPr>
  </w:style>
  <w:style w:type="character" w:customStyle="1" w:styleId="13">
    <w:name w:val="NormalCharacter"/>
    <w:link w:val="14"/>
    <w:qFormat/>
    <w:locked/>
    <w:uiPriority w:val="99"/>
    <w:rPr>
      <w:kern w:val="0"/>
      <w:sz w:val="20"/>
    </w:rPr>
  </w:style>
  <w:style w:type="paragraph" w:customStyle="1" w:styleId="14">
    <w:name w:val="UserStyle_4"/>
    <w:basedOn w:val="1"/>
    <w:link w:val="13"/>
    <w:qFormat/>
    <w:uiPriority w:val="99"/>
    <w:rPr>
      <w:kern w:val="0"/>
      <w:sz w:val="20"/>
    </w:rPr>
  </w:style>
  <w:style w:type="paragraph" w:customStyle="1" w:styleId="15">
    <w:name w:val="Heading3"/>
    <w:basedOn w:val="1"/>
    <w:next w:val="1"/>
    <w:qFormat/>
    <w:uiPriority w:val="99"/>
    <w:pPr>
      <w:keepNext/>
      <w:keepLines/>
      <w:spacing w:before="260" w:after="260" w:line="413" w:lineRule="auto"/>
    </w:pPr>
    <w:rPr>
      <w:b/>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3207</Words>
  <Characters>3262</Characters>
  <Lines>0</Lines>
  <Paragraphs>0</Paragraphs>
  <TotalTime>4</TotalTime>
  <ScaleCrop>false</ScaleCrop>
  <LinksUpToDate>false</LinksUpToDate>
  <CharactersWithSpaces>3492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2025-04-01T07:52:00Z</dcterms:created>
  <dc:creator>葛相楠</dc:creator>
  <cp:lastModifiedBy>zl</cp:lastModifiedBy>
  <dcterms:modified xsi:type="dcterms:W3CDTF">2026-04-01T07:20:09Z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725500E53A5D4213BCFF2B8ECFC8BD85_11</vt:lpwstr>
  </property>
  <property fmtid="{D5CDD505-2E9C-101B-9397-08002B2CF9AE}" pid="4" name="KSOTemplateDocerSaveRecord">
    <vt:lpwstr>eyJoZGlkIjoiYTFiMDNiZWQ5MWQxMjIzYjU0MTBhYTU0MzhiYWE1ZmUiLCJ1c2VySWQiOiIyNzQ5OTcwMTQifQ==</vt:lpwstr>
  </property>
</Properties>
</file>