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版本号：RH采字【20260402】号20260417001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千年诗魂盛世长安唐诗文化品牌建设与传播国际学术论坛承办服务项目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RH采字【20260402】号</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千年诗魂盛世长安唐诗文化品牌建设与传播国际学术论坛承办服务项目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RH采字【20260402】号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千年诗魂盛世长安唐诗文化品牌建设与传播国际学术论坛承办服务项目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“千年诗魂 盛世长安” —唐诗文化品牌建设与传播国际学术论坛承办服务采购项目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采购包1（千年诗魂盛世长安唐诗文化品牌建设与传播国际学术论坛承办服务采购项目）：属于专门面向中小企业采购。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2024或2025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有依法缴纳税收的良好记录：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4、有依法缴纳社会保障资金的良好记录：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7、法定代表人授权书、法定代表人身份证明合格：提供合格的法定代表人授权书（附法定代表人、被授权人身份证复印件）或法定代表人身份证明（法定代表人直接参加的）。</w:t>
      </w:r>
    </w:p>
    <w:p>
      <w:pPr>
        <w:pStyle w:val="null3"/>
      </w:pPr>
      <w:r>
        <w:rPr>
          <w:rFonts w:ascii="仿宋_GB2312" w:hAnsi="仿宋_GB2312" w:cs="仿宋_GB2312" w:eastAsia="仿宋_GB2312"/>
        </w:rPr>
        <w:t>8、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只需校验证书及签章的有效性后，即可按照系统操作要求进行身份信息绑定、权限设置和系统操作；未办理互认的证书及签章的供应商，应当按要求办理互认的证书及签章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（三）供应商应当自行准备适应电子化采购所需的计算机终端、软硬件及网络环境，承担因准备不足产生的不利后果。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ind w:firstLine="480"/>
        <w:jc w:val="left"/>
      </w:pPr>
      <w:r>
        <w:rPr>
          <w:rFonts w:ascii="仿宋_GB2312" w:hAnsi="仿宋_GB2312" w:cs="仿宋_GB2312" w:eastAsia="仿宋_GB2312"/>
        </w:rPr>
        <w:t xml:space="preserve"> 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太白北路229号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710127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029-88302595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石雨鑫、张丰利、刘菲、王倩倩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15091632950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产品属于节能产品政府采购品目清单中应强制采购的产品范围，供应商应当按照第七章强制、优先采购产品承诺函格式进行承诺，否则作无效响应处理。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产品属于环境标志产品政府采购品目清单中应优先采购的产品范围，供应商可根据第七章强制、优先采购产品承诺函格式要求承诺提供经认证的节能、环境标志产品。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谈判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开户名称：瑞恒项目管理有限公司</w:t>
            </w:r>
          </w:p>
          <w:p>
            <w:pPr>
              <w:pStyle w:val="null3"/>
            </w:pPr>
            <w:r>
              <w:rPr>
                <w:rFonts w:ascii="仿宋_GB2312" w:hAnsi="仿宋_GB2312" w:cs="仿宋_GB2312" w:eastAsia="仿宋_GB2312"/>
              </w:rPr>
              <w:t>开户银行：工行西安城南科技支行</w:t>
            </w:r>
          </w:p>
          <w:p>
            <w:pPr>
              <w:pStyle w:val="null3"/>
            </w:pPr>
            <w:r>
              <w:rPr>
                <w:rFonts w:ascii="仿宋_GB2312" w:hAnsi="仿宋_GB2312" w:cs="仿宋_GB2312" w:eastAsia="仿宋_GB2312"/>
              </w:rPr>
              <w:t>银行账号：3700024819200044620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说明：成交供应商在与采购人签订合同前，须缴纳履约保证金；履约保证金金额为成交金额的5%。 缴纳方式：银行转账、支票/汇票/本票、保函/保险； 说明：成交供应商于合同签订前缴纳，缴纳金额为合同金额的5%。 缴纳方式：银行转账、支票/汇票/本票、保函/保险；履约保证金汇款账户： 户 名：西北大学 开户银行：交通银行西安学府大街支行 账 号：611301015018001145006 履约保证金缴纳后，可持银行回执到西北大学换取收据。退还方式：服务期满验收合格后凭收据和验收单复印件无息退还。 如遇下列情况之一者，合同履约保证金不予退还，作为对采购人的赔偿： （1）合同签订后不能按合同时限要求提供服务的； （2）所提供的服务与合同不符或验收不合格的； （3）不能按合同履约的。</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采购代理服务收费管理暂行办法的通知》（计价格[2002]1980号）及《国家发展改革委办公厅关于招标代理服务收费有关问题的通知》（发改办价格[2003]857号）规定的收费标准下浮20%收取。户名：瑞恒项目管理有限公司 开户行：工行西安城南科技支行 账号：3700024819200044620。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成交通知书领取</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 xml:space="preserve"> 二、本竞争性谈判文件的最终解释权由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西北大学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瑞恒项目管理有限公司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pPr>
      <w:r>
        <w:rPr>
          <w:rFonts w:ascii="仿宋_GB2312" w:hAnsi="仿宋_GB2312" w:cs="仿宋_GB2312" w:eastAsia="仿宋_GB2312"/>
        </w:rPr>
        <w:t xml:space="preserve"> 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一、供应商的报价是供应商响应谈判项目要求的全部工作内容的价格体现，包括供应商完成本项目所需的一切费用。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2.4.8响应文件有效期</w:t>
      </w:r>
    </w:p>
    <w:p>
      <w:pPr>
        <w:pStyle w:val="null3"/>
        <w:ind w:firstLine="480"/>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（1）参加采购活动前3年内与供应商存在劳动关系；</w:t>
      </w:r>
    </w:p>
    <w:p>
      <w:pPr>
        <w:pStyle w:val="null3"/>
        <w:ind w:firstLine="480"/>
      </w:pPr>
      <w:r>
        <w:rPr>
          <w:rFonts w:ascii="仿宋_GB2312" w:hAnsi="仿宋_GB2312" w:cs="仿宋_GB2312" w:eastAsia="仿宋_GB2312"/>
        </w:rPr>
        <w:t>（2）参加采购活动前3年内担任供应商的董事、监事；</w:t>
      </w:r>
    </w:p>
    <w:p>
      <w:pPr>
        <w:pStyle w:val="null3"/>
        <w:ind w:firstLine="480"/>
      </w:pPr>
      <w:r>
        <w:rPr>
          <w:rFonts w:ascii="仿宋_GB2312" w:hAnsi="仿宋_GB2312" w:cs="仿宋_GB2312" w:eastAsia="仿宋_GB2312"/>
        </w:rPr>
        <w:t>（3）参加采购活动前3年内是供应商的控股股东或者实际控制人；</w:t>
      </w:r>
    </w:p>
    <w:p>
      <w:pPr>
        <w:pStyle w:val="null3"/>
        <w:ind w:firstLine="480"/>
      </w:pPr>
      <w:r>
        <w:rPr>
          <w:rFonts w:ascii="仿宋_GB2312" w:hAnsi="仿宋_GB2312" w:cs="仿宋_GB2312" w:eastAsia="仿宋_GB2312"/>
        </w:rPr>
        <w:t>（4）与供应商的法定代表人或者负责人有夫妻、直系血亲、三代以内旁系血亲或者近姻亲关系；</w:t>
      </w:r>
    </w:p>
    <w:p>
      <w:pPr>
        <w:pStyle w:val="null3"/>
        <w:ind w:firstLine="480"/>
      </w:pPr>
      <w:r>
        <w:rPr>
          <w:rFonts w:ascii="仿宋_GB2312" w:hAnsi="仿宋_GB2312" w:cs="仿宋_GB2312" w:eastAsia="仿宋_GB2312"/>
        </w:rPr>
        <w:t>（5）与供应商有其他可能影响政府采购活动公平、公正进行的关系。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联系人：石雨鑫、张丰利、刘菲、王倩倩</w:t>
      </w:r>
    </w:p>
    <w:p>
      <w:pPr>
        <w:pStyle w:val="null3"/>
      </w:pPr>
      <w:r>
        <w:rPr>
          <w:rFonts w:ascii="仿宋_GB2312" w:hAnsi="仿宋_GB2312" w:cs="仿宋_GB2312" w:eastAsia="仿宋_GB2312"/>
        </w:rPr>
        <w:t>联系电话：15091632950</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“千年诗魂 盛世长安” —唐诗文化品牌建设与传播国际学术论坛承办服务采购项目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498,000.00</w:t>
      </w:r>
    </w:p>
    <w:p>
      <w:pPr>
        <w:pStyle w:val="null3"/>
      </w:pPr>
      <w:r>
        <w:rPr>
          <w:rFonts w:ascii="仿宋_GB2312" w:hAnsi="仿宋_GB2312" w:cs="仿宋_GB2312" w:eastAsia="仿宋_GB2312"/>
        </w:rPr>
        <w:t>采购包最高限价（元）: 498,000.00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千年诗魂 盛世长安 唐诗文化品牌建设与传播国际学术论坛承办服务项目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标的名称：千年诗魂 盛世长安 唐诗文化品牌建设与传播国际学术论坛承办服务项目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rPr>
              <w:t>“千年诗魂 盛世长安 —唐诗文化品牌建设与传播国际学术论坛”承办服务采购项目，在服务期内供应商根据采购人需求进行组织策划、场地搭建、会场布置、服务等工作，整体会议服务设计等涉及效果的工作需经采购人确认后予以开展。</w:t>
            </w:r>
          </w:p>
          <w:p>
            <w:pPr>
              <w:pStyle w:val="null3"/>
              <w:ind w:firstLine="482"/>
              <w:jc w:val="left"/>
            </w:pPr>
            <w:r>
              <w:rPr>
                <w:rFonts w:ascii="仿宋_GB2312" w:hAnsi="仿宋_GB2312" w:cs="仿宋_GB2312" w:eastAsia="仿宋_GB2312"/>
                <w:sz w:val="24"/>
                <w:b/>
              </w:rPr>
              <w:t>（一）</w:t>
            </w:r>
            <w:r>
              <w:rPr>
                <w:rFonts w:ascii="仿宋_GB2312" w:hAnsi="仿宋_GB2312" w:cs="仿宋_GB2312" w:eastAsia="仿宋_GB2312"/>
                <w:sz w:val="24"/>
                <w:b/>
              </w:rPr>
              <w:t>具体服务内容（包括但不限于如下事项）</w:t>
            </w:r>
          </w:p>
          <w:p>
            <w:pPr>
              <w:pStyle w:val="null3"/>
              <w:jc w:val="left"/>
            </w:pPr>
            <w:r>
              <w:rPr>
                <w:rFonts w:ascii="仿宋_GB2312" w:hAnsi="仿宋_GB2312" w:cs="仿宋_GB2312" w:eastAsia="仿宋_GB2312"/>
                <w:sz w:val="24"/>
              </w:rPr>
              <w:t xml:space="preserve">  1.考察会议地点、提供符合采购人会议要求的备选场所3个以上；</w:t>
            </w:r>
          </w:p>
          <w:p>
            <w:pPr>
              <w:pStyle w:val="null3"/>
              <w:ind w:firstLine="480"/>
              <w:jc w:val="left"/>
            </w:pPr>
            <w:r>
              <w:rPr>
                <w:rFonts w:ascii="仿宋_GB2312" w:hAnsi="仿宋_GB2312" w:cs="仿宋_GB2312" w:eastAsia="仿宋_GB2312"/>
                <w:sz w:val="24"/>
              </w:rPr>
              <w:t>2.开幕式论坛大屏系统、音响系统、灯光系统、舞台系统及配置；</w:t>
            </w:r>
          </w:p>
          <w:p>
            <w:pPr>
              <w:pStyle w:val="null3"/>
              <w:ind w:firstLine="480"/>
              <w:jc w:val="left"/>
            </w:pPr>
            <w:r>
              <w:rPr>
                <w:rFonts w:ascii="仿宋_GB2312" w:hAnsi="仿宋_GB2312" w:cs="仿宋_GB2312" w:eastAsia="仿宋_GB2312"/>
                <w:sz w:val="24"/>
              </w:rPr>
              <w:t>3.开幕式会场展区布置；</w:t>
            </w:r>
          </w:p>
          <w:p>
            <w:pPr>
              <w:pStyle w:val="null3"/>
              <w:ind w:firstLine="480"/>
              <w:jc w:val="left"/>
            </w:pPr>
            <w:r>
              <w:rPr>
                <w:rFonts w:ascii="仿宋_GB2312" w:hAnsi="仿宋_GB2312" w:cs="仿宋_GB2312" w:eastAsia="仿宋_GB2312"/>
                <w:sz w:val="24"/>
              </w:rPr>
              <w:t>4.音乐会的大屏系统、音响系统、灯光系统、舞台系统及配置；</w:t>
            </w:r>
            <w:r>
              <w:rPr>
                <w:rFonts w:ascii="仿宋_GB2312" w:hAnsi="仿宋_GB2312" w:cs="仿宋_GB2312" w:eastAsia="仿宋_GB2312"/>
                <w:sz w:val="24"/>
              </w:rPr>
              <w:t>钢琴等大件乐器提供，演员装造服务等</w:t>
            </w:r>
          </w:p>
          <w:p>
            <w:pPr>
              <w:pStyle w:val="null3"/>
              <w:ind w:firstLine="480"/>
              <w:jc w:val="left"/>
            </w:pPr>
            <w:r>
              <w:rPr>
                <w:rFonts w:ascii="仿宋_GB2312" w:hAnsi="仿宋_GB2312" w:cs="仿宋_GB2312" w:eastAsia="仿宋_GB2312"/>
                <w:sz w:val="24"/>
              </w:rPr>
              <w:t>5.摄像、摄影；设计、印刷服务；</w:t>
            </w:r>
          </w:p>
          <w:p>
            <w:pPr>
              <w:pStyle w:val="null3"/>
              <w:ind w:firstLine="480"/>
              <w:jc w:val="left"/>
            </w:pPr>
            <w:r>
              <w:rPr>
                <w:rFonts w:ascii="仿宋_GB2312" w:hAnsi="仿宋_GB2312" w:cs="仿宋_GB2312" w:eastAsia="仿宋_GB2312"/>
                <w:sz w:val="24"/>
              </w:rPr>
              <w:t>6.茶歇服务；</w:t>
            </w:r>
          </w:p>
          <w:p>
            <w:pPr>
              <w:pStyle w:val="null3"/>
              <w:ind w:firstLine="480"/>
              <w:jc w:val="left"/>
            </w:pPr>
            <w:r>
              <w:rPr>
                <w:rFonts w:ascii="仿宋_GB2312" w:hAnsi="仿宋_GB2312" w:cs="仿宋_GB2312" w:eastAsia="仿宋_GB2312"/>
                <w:sz w:val="24"/>
              </w:rPr>
              <w:t>7.氛围布置服务；论坛布置、设备安装及拆除服务；</w:t>
            </w:r>
          </w:p>
          <w:p>
            <w:pPr>
              <w:pStyle w:val="null3"/>
              <w:ind w:firstLine="480"/>
              <w:jc w:val="left"/>
            </w:pPr>
            <w:r>
              <w:rPr>
                <w:rFonts w:ascii="仿宋_GB2312" w:hAnsi="仿宋_GB2312" w:cs="仿宋_GB2312" w:eastAsia="仿宋_GB2312"/>
                <w:sz w:val="24"/>
              </w:rPr>
              <w:t>8.提供论坛布置效果图、现场排位图；协助大会现场PPT播放、视频播放；负责大会现场全程录像并提供视频资料；负责大会现场嘉宾桌牌、座位编号贴纸的制作；制定活动安全预案等。</w:t>
            </w:r>
          </w:p>
          <w:p>
            <w:pPr>
              <w:pStyle w:val="null3"/>
              <w:ind w:firstLine="480"/>
              <w:jc w:val="left"/>
            </w:pPr>
            <w:r>
              <w:rPr>
                <w:rFonts w:ascii="仿宋_GB2312" w:hAnsi="仿宋_GB2312" w:cs="仿宋_GB2312" w:eastAsia="仿宋_GB2312"/>
                <w:sz w:val="24"/>
              </w:rPr>
              <w:t>9.会议接待服务（包括外地代表接送车站、机场，市内专家统一接送会场租车服务）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2"/>
              <w:jc w:val="left"/>
            </w:pPr>
            <w:r>
              <w:rPr>
                <w:rFonts w:ascii="仿宋_GB2312" w:hAnsi="仿宋_GB2312" w:cs="仿宋_GB2312" w:eastAsia="仿宋_GB2312"/>
                <w:sz w:val="24"/>
                <w:b/>
              </w:rPr>
              <w:t>（二）关键指标及相关要求</w:t>
            </w:r>
          </w:p>
          <w:p>
            <w:pPr>
              <w:pStyle w:val="null3"/>
              <w:ind w:firstLine="482"/>
              <w:jc w:val="left"/>
            </w:pPr>
            <w:r>
              <w:rPr>
                <w:rFonts w:ascii="仿宋_GB2312" w:hAnsi="仿宋_GB2312" w:cs="仿宋_GB2312" w:eastAsia="仿宋_GB2312"/>
                <w:sz w:val="24"/>
                <w:b/>
              </w:rPr>
              <w:t>1.会议地点要求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1）环境要求：西安市区内符合唐文化主题的园林式酒店。</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2）接待能力要求：具备接待100人以上能力的4星以上大型酒店</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3）开会场所要求：开幕式及音乐会会场有能够容纳百人以上具现代化声光电设备功能齐全的大型会议厅，以及多个分论坛中型会议厅。</w:t>
            </w:r>
          </w:p>
          <w:p>
            <w:pPr>
              <w:pStyle w:val="null3"/>
              <w:ind w:firstLine="482"/>
              <w:jc w:val="both"/>
            </w:pPr>
            <w:r>
              <w:rPr>
                <w:rFonts w:ascii="仿宋_GB2312" w:hAnsi="仿宋_GB2312" w:cs="仿宋_GB2312" w:eastAsia="仿宋_GB2312"/>
                <w:sz w:val="24"/>
                <w:b/>
              </w:rPr>
              <w:t>2.会场设备以及音乐会搭建关键指标</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1）视觉系统标准</w:t>
            </w:r>
            <w:r>
              <w:rPr>
                <w:rFonts w:ascii="仿宋_GB2312" w:hAnsi="仿宋_GB2312" w:cs="仿宋_GB2312" w:eastAsia="仿宋_GB2312"/>
                <w:sz w:val="24"/>
              </w:rPr>
              <w:t>：保障学术与演出技术质感，参考国际会议及专业音乐会技术规范，确立核心技术指标：主屏幕采用</w:t>
            </w:r>
            <w:r>
              <w:rPr>
                <w:rFonts w:ascii="仿宋_GB2312" w:hAnsi="仿宋_GB2312" w:cs="仿宋_GB2312" w:eastAsia="仿宋_GB2312"/>
                <w:sz w:val="24"/>
              </w:rPr>
              <w:t>不劣于</w:t>
            </w:r>
            <w:r>
              <w:rPr>
                <w:rFonts w:ascii="仿宋_GB2312" w:hAnsi="仿宋_GB2312" w:cs="仿宋_GB2312" w:eastAsia="仿宋_GB2312"/>
                <w:sz w:val="24"/>
              </w:rPr>
              <w:t>4K分辨率、不劣于6000流明高清投影，对比度≥10000:1。</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2）音频系统标准：</w:t>
            </w:r>
            <w:r>
              <w:rPr>
                <w:rFonts w:ascii="仿宋_GB2312" w:hAnsi="仿宋_GB2312" w:cs="仿宋_GB2312" w:eastAsia="仿宋_GB2312"/>
                <w:sz w:val="24"/>
              </w:rPr>
              <w:t>音频系统采用专业线阵列音箱，混响时间控制在</w:t>
            </w:r>
            <w:r>
              <w:rPr>
                <w:rFonts w:ascii="仿宋_GB2312" w:hAnsi="仿宋_GB2312" w:cs="仿宋_GB2312" w:eastAsia="仿宋_GB2312"/>
                <w:sz w:val="24"/>
              </w:rPr>
              <w:t>1.2-1.5秒，信噪比≥85dB，消除杂音干扰。</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3）灯光系统要求：</w:t>
            </w:r>
            <w:r>
              <w:rPr>
                <w:rFonts w:ascii="仿宋_GB2312" w:hAnsi="仿宋_GB2312" w:cs="仿宋_GB2312" w:eastAsia="仿宋_GB2312"/>
                <w:sz w:val="24"/>
              </w:rPr>
              <w:t>舞台灯光采用</w:t>
            </w:r>
            <w:r>
              <w:rPr>
                <w:rFonts w:ascii="仿宋_GB2312" w:hAnsi="仿宋_GB2312" w:cs="仿宋_GB2312" w:eastAsia="仿宋_GB2312"/>
                <w:sz w:val="24"/>
              </w:rPr>
              <w:t>LED帕灯与追光组合，色温3200K-5600K可调，满足不同场景光影呈现。拾音麦克风采用定向电容麦，拾音距离1-3米。。</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4）网络系统要求：</w:t>
            </w:r>
            <w:r>
              <w:rPr>
                <w:rFonts w:ascii="仿宋_GB2312" w:hAnsi="仿宋_GB2312" w:cs="仿宋_GB2312" w:eastAsia="仿宋_GB2312"/>
                <w:sz w:val="24"/>
              </w:rPr>
              <w:t>网络采用双路由千兆光纤接入，带宽冗余</w:t>
            </w:r>
            <w:r>
              <w:rPr>
                <w:rFonts w:ascii="仿宋_GB2312" w:hAnsi="仿宋_GB2312" w:cs="仿宋_GB2312" w:eastAsia="仿宋_GB2312"/>
                <w:sz w:val="24"/>
              </w:rPr>
              <w:t>≥50%</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5）应急技术保障要求：</w:t>
            </w:r>
            <w:r>
              <w:rPr>
                <w:rFonts w:ascii="仿宋_GB2312" w:hAnsi="仿宋_GB2312" w:cs="仿宋_GB2312" w:eastAsia="仿宋_GB2312"/>
                <w:sz w:val="24"/>
              </w:rPr>
              <w:t>强化应急技术保障，确立</w:t>
            </w:r>
            <w:r>
              <w:rPr>
                <w:rFonts w:ascii="仿宋_GB2312" w:hAnsi="仿宋_GB2312" w:cs="仿宋_GB2312" w:eastAsia="仿宋_GB2312"/>
                <w:sz w:val="24"/>
              </w:rPr>
              <w:t>UPS不间断供电续航≥2小时，配备备用投影、音箱及应急电源，建立设备故障预警机制。</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6）技术要求：</w:t>
            </w:r>
            <w:r>
              <w:rPr>
                <w:rFonts w:ascii="仿宋_GB2312" w:hAnsi="仿宋_GB2312" w:cs="仿宋_GB2312" w:eastAsia="仿宋_GB2312"/>
                <w:sz w:val="24"/>
              </w:rPr>
              <w:t>要</w:t>
            </w:r>
            <w:r>
              <w:rPr>
                <w:rFonts w:ascii="仿宋_GB2312" w:hAnsi="仿宋_GB2312" w:cs="仿宋_GB2312" w:eastAsia="仿宋_GB2312"/>
                <w:sz w:val="24"/>
              </w:rPr>
              <w:t>求舞台布置、背景展示融入唐诗意象，同时采用高清</w:t>
            </w:r>
            <w:r>
              <w:rPr>
                <w:rFonts w:ascii="仿宋_GB2312" w:hAnsi="仿宋_GB2312" w:cs="仿宋_GB2312" w:eastAsia="仿宋_GB2312"/>
                <w:sz w:val="24"/>
              </w:rPr>
              <w:t>LED屏动态呈现唐诗意境，技术呈现与文化主题高度契合。技术服务故障率≤1%、设备调试达标率100%、参会及观演满意度≥95%”</w:t>
            </w:r>
          </w:p>
          <w:p>
            <w:pPr>
              <w:pStyle w:val="null3"/>
              <w:ind w:firstLine="482"/>
              <w:jc w:val="both"/>
            </w:pPr>
            <w:r>
              <w:rPr>
                <w:rFonts w:ascii="仿宋_GB2312" w:hAnsi="仿宋_GB2312" w:cs="仿宋_GB2312" w:eastAsia="仿宋_GB2312"/>
                <w:sz w:val="24"/>
                <w:b/>
              </w:rPr>
              <w:t>3.会议服务执行关键指标</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1）服务响应效率：</w:t>
            </w:r>
            <w:r>
              <w:rPr>
                <w:rFonts w:ascii="仿宋_GB2312" w:hAnsi="仿宋_GB2312" w:cs="仿宋_GB2312" w:eastAsia="仿宋_GB2312"/>
                <w:sz w:val="24"/>
              </w:rPr>
              <w:t>参会者咨询响应时间</w:t>
            </w:r>
            <w:r>
              <w:rPr>
                <w:rFonts w:ascii="仿宋_GB2312" w:hAnsi="仿宋_GB2312" w:cs="仿宋_GB2312" w:eastAsia="仿宋_GB2312"/>
                <w:sz w:val="24"/>
              </w:rPr>
              <w:t>≤30分钟，问题解决率≥90%。</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2）技术稳定性；</w:t>
            </w:r>
            <w:r>
              <w:rPr>
                <w:rFonts w:ascii="仿宋_GB2312" w:hAnsi="仿宋_GB2312" w:cs="仿宋_GB2312" w:eastAsia="仿宋_GB2312"/>
                <w:sz w:val="24"/>
              </w:rPr>
              <w:t>线上平台故障率</w:t>
            </w:r>
            <w:r>
              <w:rPr>
                <w:rFonts w:ascii="仿宋_GB2312" w:hAnsi="仿宋_GB2312" w:cs="仿宋_GB2312" w:eastAsia="仿宋_GB2312"/>
                <w:sz w:val="24"/>
              </w:rPr>
              <w:t>≤0.5%。</w:t>
            </w:r>
          </w:p>
          <w:p>
            <w:pPr>
              <w:pStyle w:val="null3"/>
              <w:ind w:firstLine="482"/>
              <w:jc w:val="both"/>
            </w:pPr>
            <w:r>
              <w:rPr>
                <w:rFonts w:ascii="仿宋_GB2312" w:hAnsi="仿宋_GB2312" w:cs="仿宋_GB2312" w:eastAsia="仿宋_GB2312"/>
                <w:sz w:val="24"/>
                <w:b/>
              </w:rPr>
              <w:t>4.功能要求</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1）高标准技术支撑：</w:t>
            </w:r>
            <w:r>
              <w:rPr>
                <w:rFonts w:ascii="仿宋_GB2312" w:hAnsi="仿宋_GB2312" w:cs="仿宋_GB2312" w:eastAsia="仿宋_GB2312"/>
                <w:sz w:val="24"/>
              </w:rPr>
              <w:t>通过精准把控音视频、网络等核心技术指标，实现论坛学术交流清晰高效、音乐会视听体验沉浸式呈现，满足线上线下同步参与需求。</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2）活动高效有序开展：</w:t>
            </w:r>
            <w:r>
              <w:rPr>
                <w:rFonts w:ascii="仿宋_GB2312" w:hAnsi="仿宋_GB2312" w:cs="仿宋_GB2312" w:eastAsia="仿宋_GB2312"/>
                <w:sz w:val="24"/>
              </w:rPr>
              <w:t>依托设备故障预警、应急技术预案，实现故障</w:t>
            </w:r>
            <w:r>
              <w:rPr>
                <w:rFonts w:ascii="仿宋_GB2312" w:hAnsi="仿宋_GB2312" w:cs="仿宋_GB2312" w:eastAsia="仿宋_GB2312"/>
                <w:sz w:val="24"/>
              </w:rPr>
              <w:t>5分钟内预警、30分钟内启动替代方案，确保论坛议程与音乐会演出无缝衔接、顺利推进。</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3）强化技术与文化融合：</w:t>
            </w:r>
            <w:r>
              <w:rPr>
                <w:rFonts w:ascii="仿宋_GB2312" w:hAnsi="仿宋_GB2312" w:cs="仿宋_GB2312" w:eastAsia="仿宋_GB2312"/>
                <w:sz w:val="24"/>
              </w:rPr>
              <w:t>通过高清光影、优质音效等技术手段，将唐诗意境与长安文化元素可视化、听觉化，提升</w:t>
            </w:r>
            <w:r>
              <w:rPr>
                <w:rFonts w:ascii="仿宋_GB2312" w:hAnsi="仿宋_GB2312" w:cs="仿宋_GB2312" w:eastAsia="仿宋_GB2312"/>
                <w:sz w:val="24"/>
              </w:rPr>
              <w:t>“千年诗魂 盛世长安”IP辨识度。</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4）助力国际文化传播：</w:t>
            </w:r>
            <w:r>
              <w:rPr>
                <w:rFonts w:ascii="仿宋_GB2312" w:hAnsi="仿宋_GB2312" w:cs="仿宋_GB2312" w:eastAsia="仿宋_GB2312"/>
                <w:sz w:val="24"/>
              </w:rPr>
              <w:t>依托稳定的多语言传译、线上直播技术，打破地域与语言限制，推动唐诗文化跨文化传播。</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5）实现技术服务闭环：</w:t>
            </w:r>
            <w:r>
              <w:rPr>
                <w:rFonts w:ascii="仿宋_GB2312" w:hAnsi="仿宋_GB2312" w:cs="仿宋_GB2312" w:eastAsia="仿宋_GB2312"/>
                <w:sz w:val="24"/>
              </w:rPr>
              <w:t>通过会前全面设备调试、会中实时技术值守、会后技术复盘优化，持续提升服务质量，同时以技术为载体，推动唐诗文化与文旅、文创产业融合，打造技术过硬、文化鲜明的国际文化交流标杆，彰显长安文化魅力。</w:t>
            </w:r>
          </w:p>
          <w:p>
            <w:pPr>
              <w:pStyle w:val="null3"/>
              <w:ind w:firstLine="482"/>
              <w:jc w:val="both"/>
            </w:pPr>
            <w:r>
              <w:rPr>
                <w:rFonts w:ascii="仿宋_GB2312" w:hAnsi="仿宋_GB2312" w:cs="仿宋_GB2312" w:eastAsia="仿宋_GB2312"/>
                <w:sz w:val="24"/>
                <w:b/>
              </w:rPr>
              <w:t>5.其他要求。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1）供应商需拍摄相关的视频、照片，活动结束后交付剪辑制作的视频、照片资料。</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2）供应商在服务期间必须严格保护场地方所有设施，如有损坏供应商负责赔偿。</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报价即为项目的所有费用，费用包含但不限于项目服务过程中产生的设计费、制作费、运费、加班费、奖金补贴、劳保费、安全医疗费、旅差费、管理费、设备费、拆除费等一切费用在内的直接费、间接费、税金和利润。报价为总价包死价，在合同实施期间不因市场变化因素而变动，因供应商原因造成总价变更，由供应商承担。</w:t>
            </w:r>
            <w:r>
              <w:rPr>
                <w:rFonts w:ascii="仿宋_GB2312" w:hAnsi="仿宋_GB2312" w:cs="仿宋_GB2312" w:eastAsia="仿宋_GB2312"/>
                <w:sz w:val="24"/>
              </w:rPr>
              <w:t>所有物料使用完成后由供应商负责免费拆除，拆除时间由采购人根据情况确定。</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供应商应教育其员工增强安全和治安方面的责任意识及法律意识，为其员工购买必需的意外及商业保险，并对其员工在工作期间和其他时间的人身安全承担全部责任。因供应商行为致使其他人遭受人身、财产损害的，由供应商承担全部责任，采购人不承担任何责任。由此造成采购人损失的，采购人有权向供应商追偿，由供应商承担全部责任。项目服务期内因供应商原因引起的各项人身及财产损失由供应商承担全部责任。</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）采购人在中华人民共和国境内使用供应商提供的服务时免受第三方提出的侵犯其专利权或其他知识产权的起诉。如果第三方提出侵权指控，供应商应承担由此而引起的一切法律责任和费用。</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82"/>
              <w:jc w:val="left"/>
            </w:pPr>
            <w:r>
              <w:rPr>
                <w:rFonts w:ascii="仿宋_GB2312" w:hAnsi="仿宋_GB2312" w:cs="仿宋_GB2312" w:eastAsia="仿宋_GB2312"/>
                <w:sz w:val="24"/>
                <w:b/>
              </w:rPr>
              <w:t>（三）</w:t>
            </w:r>
            <w:r>
              <w:rPr>
                <w:rFonts w:ascii="仿宋_GB2312" w:hAnsi="仿宋_GB2312" w:cs="仿宋_GB2312" w:eastAsia="仿宋_GB2312"/>
                <w:sz w:val="24"/>
                <w:b/>
              </w:rPr>
              <w:t>所需设备及物料清单</w:t>
            </w:r>
          </w:p>
          <w:p>
            <w:pPr>
              <w:pStyle w:val="null3"/>
              <w:ind w:firstLine="480"/>
              <w:jc w:val="left"/>
            </w:pPr>
            <w:r>
              <w:rPr>
                <w:rFonts w:ascii="仿宋_GB2312" w:hAnsi="仿宋_GB2312" w:cs="仿宋_GB2312" w:eastAsia="仿宋_GB2312"/>
                <w:sz w:val="24"/>
              </w:rPr>
              <w:t>本清单中规格、数量等参数仅为参考，采购人可根据后期实际搭建情况进行修改调整，清单项目及数量变增不应超过招标合理追加范围。</w:t>
            </w:r>
          </w:p>
          <w:tbl>
            <w:tblPr>
              <w:tblInd w:type="dxa" w:w="135"/>
              <w:tblBorders>
                <w:top w:val="none" w:color="000000" w:sz="4"/>
                <w:left w:val="none" w:color="000000" w:sz="4"/>
                <w:bottom w:val="none" w:color="000000" w:sz="4"/>
                <w:right w:val="none" w:color="000000" w:sz="4"/>
                <w:insideH w:val="none"/>
                <w:insideV w:val="none"/>
              </w:tblBorders>
            </w:tblPr>
            <w:tblGrid>
              <w:gridCol w:w="237"/>
              <w:gridCol w:w="369"/>
              <w:gridCol w:w="542"/>
              <w:gridCol w:w="768"/>
              <w:gridCol w:w="192"/>
              <w:gridCol w:w="203"/>
              <w:gridCol w:w="222"/>
            </w:tblGrid>
            <w:tr>
              <w:tc>
                <w:tcPr>
                  <w:tcW w:type="dxa" w:w="237"/>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69"/>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项目</w:t>
                  </w:r>
                </w:p>
              </w:tc>
              <w:tc>
                <w:tcPr>
                  <w:tcW w:type="dxa" w:w="542"/>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所需设备名称</w:t>
                  </w:r>
                </w:p>
              </w:tc>
              <w:tc>
                <w:tcPr>
                  <w:tcW w:type="dxa" w:w="768"/>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技术要求</w:t>
                  </w:r>
                </w:p>
              </w:tc>
              <w:tc>
                <w:tcPr>
                  <w:tcW w:type="dxa" w:w="192"/>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203"/>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222"/>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时间周期</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w:t>
                  </w:r>
                </w:p>
              </w:tc>
              <w:tc>
                <w:tcPr>
                  <w:tcW w:type="dxa" w:w="369"/>
                  <w:vMerge w:val="restart"/>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开幕式会场大屏系统</w:t>
                  </w: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主屏幕</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10m*4m，p2高清</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大屏背架</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雷亚架，</w:t>
                  </w:r>
                  <w:r>
                    <w:rPr>
                      <w:rFonts w:ascii="仿宋_GB2312" w:hAnsi="仿宋_GB2312" w:cs="仿宋_GB2312" w:eastAsia="仿宋_GB2312"/>
                      <w:sz w:val="24"/>
                      <w:color w:val="000000"/>
                    </w:rPr>
                    <w:t>10*2*5m</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斜屏</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10m*1m，p2高清</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4</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分屏服务器</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5</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LED控制台</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6</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无缝拼接控制台</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7</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无缝切换器</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8</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无缝拼接控制单元</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9</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大屏操控技术师</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经验丰富</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10</w:t>
                  </w:r>
                </w:p>
              </w:tc>
              <w:tc>
                <w:tcPr>
                  <w:tcW w:type="dxa" w:w="369"/>
                  <w:vMerge w:val="restart"/>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开幕式音响系统</w:t>
                  </w: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线阵音响</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11</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返听音响</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12</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调音台</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13</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手持无线话筒</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14</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鹅颈麦</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15</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分频器</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16</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压限器</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17</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效果器</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18</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均衡器</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19</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激励器</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20</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音响师</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经验丰富</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21</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数字处理器</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22</w:t>
                  </w:r>
                </w:p>
              </w:tc>
              <w:tc>
                <w:tcPr>
                  <w:tcW w:type="dxa" w:w="369"/>
                  <w:vMerge w:val="restart"/>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开幕式舞台区域</w:t>
                  </w: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舞台</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12m*6m*0.6m</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23</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踏步</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木质踏板</w:t>
                  </w:r>
                  <w:r>
                    <w:rPr>
                      <w:rFonts w:ascii="仿宋_GB2312" w:hAnsi="仿宋_GB2312" w:cs="仿宋_GB2312" w:eastAsia="仿宋_GB2312"/>
                      <w:sz w:val="24"/>
                      <w:color w:val="000000"/>
                    </w:rPr>
                    <w:t>6m</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24</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地毯</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拉绒加厚</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25</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演讲台</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26</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演讲台包边</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KT板主题包边</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27</w:t>
                  </w:r>
                </w:p>
              </w:tc>
              <w:tc>
                <w:tcPr>
                  <w:tcW w:type="dxa" w:w="369"/>
                  <w:vMerge w:val="restart"/>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主论坛</w:t>
                  </w:r>
                  <w:r>
                    <w:rPr>
                      <w:rFonts w:ascii="仿宋_GB2312" w:hAnsi="仿宋_GB2312" w:cs="仿宋_GB2312" w:eastAsia="仿宋_GB2312"/>
                      <w:sz w:val="24"/>
                      <w:color w:val="000000"/>
                    </w:rPr>
                    <w:t>+分论坛</w:t>
                  </w: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沙发区</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布艺沙发</w:t>
                  </w:r>
                  <w:r>
                    <w:rPr>
                      <w:rFonts w:ascii="仿宋_GB2312" w:hAnsi="仿宋_GB2312" w:cs="仿宋_GB2312" w:eastAsia="仿宋_GB2312"/>
                      <w:sz w:val="24"/>
                      <w:color w:val="000000"/>
                    </w:rPr>
                    <w:t>+白色沙发巾</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28</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沙发区</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茶水桌</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29</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课桌区</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长条桌（白色桌布）</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30</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课桌区</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贵宾椅（白色椅套</w:t>
                  </w:r>
                  <w:r>
                    <w:rPr>
                      <w:rFonts w:ascii="仿宋_GB2312" w:hAnsi="仿宋_GB2312" w:cs="仿宋_GB2312" w:eastAsia="仿宋_GB2312"/>
                      <w:sz w:val="24"/>
                      <w:color w:val="000000"/>
                    </w:rPr>
                    <w:t>+蓝色蝴蝶结）</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31</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桌牌</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铜版纸</w:t>
                  </w:r>
                  <w:r>
                    <w:rPr>
                      <w:rFonts w:ascii="仿宋_GB2312" w:hAnsi="仿宋_GB2312" w:cs="仿宋_GB2312" w:eastAsia="仿宋_GB2312"/>
                      <w:sz w:val="24"/>
                      <w:color w:val="000000"/>
                    </w:rPr>
                    <w:t>+压痕折叠</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32</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会议用水</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矿泉水</w:t>
                  </w:r>
                  <w:r>
                    <w:rPr>
                      <w:rFonts w:ascii="仿宋_GB2312" w:hAnsi="仿宋_GB2312" w:cs="仿宋_GB2312" w:eastAsia="仿宋_GB2312"/>
                      <w:sz w:val="24"/>
                      <w:color w:val="000000"/>
                    </w:rPr>
                    <w:t>330ml，每箱24瓶</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箱</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33</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会议手册</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封面特种纸烫金</w:t>
                  </w:r>
                  <w:r>
                    <w:rPr>
                      <w:rFonts w:ascii="仿宋_GB2312" w:hAnsi="仿宋_GB2312" w:cs="仿宋_GB2312" w:eastAsia="仿宋_GB2312"/>
                      <w:sz w:val="24"/>
                      <w:color w:val="000000"/>
                    </w:rPr>
                    <w:t>/烫银 内页特种纸</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册</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34</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证件</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高亮</w:t>
                  </w:r>
                  <w:r>
                    <w:rPr>
                      <w:rFonts w:ascii="仿宋_GB2312" w:hAnsi="仿宋_GB2312" w:cs="仿宋_GB2312" w:eastAsia="仿宋_GB2312"/>
                      <w:sz w:val="24"/>
                      <w:color w:val="000000"/>
                    </w:rPr>
                    <w:t>PVC证件，2cm宽挂绳</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35</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会议议程</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特种纸打印</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36</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会场入口展板</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桁架黑白布</w:t>
                  </w:r>
                  <w:r>
                    <w:rPr>
                      <w:rFonts w:ascii="仿宋_GB2312" w:hAnsi="仿宋_GB2312" w:cs="仿宋_GB2312" w:eastAsia="仿宋_GB2312"/>
                      <w:sz w:val="24"/>
                      <w:color w:val="000000"/>
                    </w:rPr>
                    <w:t>6*3mH*0.6mW，全包+配重</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37</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酒店报到处展板</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桁架黑白布</w:t>
                  </w:r>
                  <w:r>
                    <w:rPr>
                      <w:rFonts w:ascii="仿宋_GB2312" w:hAnsi="仿宋_GB2312" w:cs="仿宋_GB2312" w:eastAsia="仿宋_GB2312"/>
                      <w:sz w:val="24"/>
                      <w:color w:val="000000"/>
                    </w:rPr>
                    <w:t>5*3mH*0.6mW，全包+配重</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38</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会场签到处展板</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6mL*3mH*0.6mW，桁架黑白布，全包+配重</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39</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导视</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不锈钢防风防倒导视</w:t>
                  </w:r>
                  <w:r>
                    <w:rPr>
                      <w:rFonts w:ascii="仿宋_GB2312" w:hAnsi="仿宋_GB2312" w:cs="仿宋_GB2312" w:eastAsia="仿宋_GB2312"/>
                      <w:sz w:val="24"/>
                      <w:color w:val="000000"/>
                    </w:rPr>
                    <w:t>+写真背胶KT画面</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40</w:t>
                  </w:r>
                </w:p>
              </w:tc>
              <w:tc>
                <w:tcPr>
                  <w:tcW w:type="dxa" w:w="369"/>
                  <w:vMerge w:val="restart"/>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摄影摄像</w:t>
                  </w: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摄像</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数字高清，资深摄像老师</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41</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视频剪辑</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快剪视频</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42</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摄影</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现场摄影，图片直播</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43</w:t>
                  </w:r>
                </w:p>
              </w:tc>
              <w:tc>
                <w:tcPr>
                  <w:tcW w:type="dxa" w:w="369"/>
                  <w:vMerge w:val="restart"/>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设计</w:t>
                  </w:r>
                  <w:r>
                    <w:rPr>
                      <w:rFonts w:ascii="仿宋_GB2312" w:hAnsi="仿宋_GB2312" w:cs="仿宋_GB2312" w:eastAsia="仿宋_GB2312"/>
                      <w:sz w:val="24"/>
                      <w:color w:val="000000"/>
                    </w:rPr>
                    <w:t>+对接</w:t>
                  </w: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会议平面设计</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主</w:t>
                  </w:r>
                  <w:r>
                    <w:rPr>
                      <w:rFonts w:ascii="仿宋_GB2312" w:hAnsi="仿宋_GB2312" w:cs="仿宋_GB2312" w:eastAsia="仿宋_GB2312"/>
                      <w:sz w:val="24"/>
                      <w:color w:val="000000"/>
                    </w:rPr>
                    <w:t>KV，展板设计、会务资料设计等</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44</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会议</w:t>
                  </w:r>
                  <w:r>
                    <w:rPr>
                      <w:rFonts w:ascii="仿宋_GB2312" w:hAnsi="仿宋_GB2312" w:cs="仿宋_GB2312" w:eastAsia="仿宋_GB2312"/>
                      <w:sz w:val="24"/>
                      <w:color w:val="000000"/>
                    </w:rPr>
                    <w:t>3D效果图设计</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活动</w:t>
                  </w:r>
                  <w:r>
                    <w:rPr>
                      <w:rFonts w:ascii="仿宋_GB2312" w:hAnsi="仿宋_GB2312" w:cs="仿宋_GB2312" w:eastAsia="仿宋_GB2312"/>
                      <w:sz w:val="24"/>
                      <w:color w:val="000000"/>
                    </w:rPr>
                    <w:t>3D效果设计</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45</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会议汇报方案设计</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46</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搭建人工</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会议、展览设备安装及拆除，桁架搭建及拆除</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47</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电源及电路保护</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电源、电缆线、压线板</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48</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茶歇区</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水果甜点咖啡果汁</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49</w:t>
                  </w:r>
                </w:p>
              </w:tc>
              <w:tc>
                <w:tcPr>
                  <w:tcW w:type="dxa" w:w="369"/>
                  <w:vMerge w:val="restart"/>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音乐会大屏系统</w:t>
                  </w: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主屏幕</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12m*4m，p2高清</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50</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大屏背架</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雷亚架，</w:t>
                  </w:r>
                  <w:r>
                    <w:rPr>
                      <w:rFonts w:ascii="仿宋_GB2312" w:hAnsi="仿宋_GB2312" w:cs="仿宋_GB2312" w:eastAsia="仿宋_GB2312"/>
                      <w:sz w:val="24"/>
                      <w:color w:val="000000"/>
                    </w:rPr>
                    <w:t>14*2*5m</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51</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斜屏</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12m*1m，p2高清</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52</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分屏服务器</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53</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LED控制台</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54</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无缝拼接控制台</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55</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无缝切换器</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56</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无缝拼接控制单元</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57</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大屏操控技术师</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经验丰富</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58</w:t>
                  </w:r>
                </w:p>
              </w:tc>
              <w:tc>
                <w:tcPr>
                  <w:tcW w:type="dxa" w:w="369"/>
                  <w:vMerge w:val="restart"/>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音乐会音响系统</w:t>
                  </w: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线阵音响</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59</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返听音响</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60</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调音台</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61</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手持无线话筒</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62</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鹅颈麦</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63</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分频器</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64</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压限器</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65</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效果器</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66</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均衡器</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67</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激励器</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68</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音响师</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经验丰富</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69</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数字处理器</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70</w:t>
                  </w:r>
                </w:p>
              </w:tc>
              <w:tc>
                <w:tcPr>
                  <w:tcW w:type="dxa" w:w="369"/>
                  <w:vMerge w:val="restart"/>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音乐舞台区域</w:t>
                  </w: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舞台</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14m*6m*0.6m</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71</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踏步</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木质踏板</w:t>
                  </w:r>
                  <w:r>
                    <w:rPr>
                      <w:rFonts w:ascii="仿宋_GB2312" w:hAnsi="仿宋_GB2312" w:cs="仿宋_GB2312" w:eastAsia="仿宋_GB2312"/>
                      <w:sz w:val="24"/>
                      <w:color w:val="000000"/>
                    </w:rPr>
                    <w:t>6m</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72</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地毯</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拉绒加厚</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73</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演讲台</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74</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演讲台包边</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KT板主题包边</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75</w:t>
                  </w:r>
                </w:p>
              </w:tc>
              <w:tc>
                <w:tcPr>
                  <w:tcW w:type="dxa" w:w="369"/>
                  <w:vMerge w:val="restart"/>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音乐会灯光系统</w:t>
                  </w: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数字处理器</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76</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调光台</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77</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LED  PAR灯</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78</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变色灯</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p6</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79</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电脑摇头光束灯</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80</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电脑灯信号放大器</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81</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灯光龙门架</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82</w:t>
                  </w:r>
                </w:p>
              </w:tc>
              <w:tc>
                <w:tcPr>
                  <w:tcW w:type="dxa" w:w="369"/>
                  <w:vMerge w:val="restart"/>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酒店会场租金</w:t>
                  </w: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开幕式</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524平方米</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83</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音乐会</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680平方</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84</w:t>
                  </w:r>
                </w:p>
              </w:tc>
              <w:tc>
                <w:tcPr>
                  <w:tcW w:type="dxa" w:w="369"/>
                  <w:vMerge/>
                  <w:tcBorders>
                    <w:top w:val="none" w:color="000000" w:sz="4"/>
                    <w:left w:val="single" w:color="000000" w:sz="4"/>
                    <w:bottom w:val="single" w:color="000000" w:sz="4"/>
                    <w:right w:val="single" w:color="000000" w:sz="4"/>
                  </w:tcBorders>
                </w:tcP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分论坛场地</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300平方</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85</w:t>
                  </w:r>
                </w:p>
              </w:tc>
              <w:tc>
                <w:tcPr>
                  <w:tcW w:type="dxa" w:w="369"/>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租车费用</w:t>
                  </w: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大巴车</w:t>
                  </w:r>
                  <w:r>
                    <w:rPr>
                      <w:rFonts w:ascii="仿宋_GB2312" w:hAnsi="仿宋_GB2312" w:cs="仿宋_GB2312" w:eastAsia="仿宋_GB2312"/>
                      <w:sz w:val="24"/>
                      <w:color w:val="000000"/>
                    </w:rPr>
                    <w:t>+商务车等</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车接送</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辆</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2天</w:t>
                  </w:r>
                </w:p>
              </w:tc>
            </w:tr>
            <w:tr>
              <w:tc>
                <w:tcPr>
                  <w:tcW w:type="dxa" w:w="23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86</w:t>
                  </w:r>
                </w:p>
              </w:tc>
              <w:tc>
                <w:tcPr>
                  <w:tcW w:type="dxa" w:w="369"/>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餐费</w:t>
                  </w:r>
                </w:p>
              </w:tc>
              <w:tc>
                <w:tcPr>
                  <w:tcW w:type="dxa" w:w="54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自助餐</w:t>
                  </w:r>
                </w:p>
              </w:tc>
              <w:tc>
                <w:tcPr>
                  <w:tcW w:type="dxa" w:w="76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自助餐酒店</w:t>
                  </w:r>
                </w:p>
              </w:tc>
              <w:tc>
                <w:tcPr>
                  <w:tcW w:type="dxa" w:w="19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c>
                <w:tcPr>
                  <w:tcW w:type="dxa" w:w="20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人次</w:t>
                  </w:r>
                </w:p>
              </w:tc>
              <w:tc>
                <w:tcPr>
                  <w:tcW w:type="dxa" w:w="222"/>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r>
          </w:tbl>
          <w:p>
            <w:pPr>
              <w:pStyle w:val="null3"/>
              <w:jc w:val="both"/>
            </w:pP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备注：所有服务指标必须满足要求，不得出现负偏离，否则按无效文件处理。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3"/>
      </w:pPr>
      <w:r>
        <w:rPr>
          <w:rFonts w:ascii="仿宋_GB2312" w:hAnsi="仿宋_GB2312" w:cs="仿宋_GB2312" w:eastAsia="仿宋_GB2312"/>
          <w:sz w:val="24"/>
          <w:b/>
        </w:rPr>
        <w:t>3.2.5服务内容其他要求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采购标的需实现的功能或者目标：目标通过采购专业、系统、高效的全流程服务，确保“千年诗魂 盛世长安” —唐诗文化品牌建设与传播国际学术论坛承办服务采购顺利、圆满、高水平举办。 功能：统筹管理论坛全流程，包括但不限于场地布置、视觉设计、设备技术支持、签到、流程管控、各环节衔接等，确保论坛以及音乐会期间所有环节无缝衔接、高效运转、零差错。</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千年诗魂 盛世长安——唐诗文化品牌建设与传播国际学术论坛于2026年4月25日进行，会议之前完成论坛搭建调试、现场布置等，活动结束后当天安排撤场，保持安全秩序及会后会场卫生清洁工作，要求恢复搭建前场地原样。具体时间以采购人实际通知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符合采购人会议要求、具备相应条件的场所。</w:t>
      </w:r>
    </w:p>
    <w:p>
      <w:pPr>
        <w:pStyle w:val="null3"/>
        <w:outlineLvl w:val="3"/>
      </w:pPr>
      <w:r>
        <w:rPr>
          <w:rFonts w:ascii="仿宋_GB2312" w:hAnsi="仿宋_GB2312" w:cs="仿宋_GB2312" w:eastAsia="仿宋_GB2312"/>
          <w:sz w:val="24"/>
          <w:b/>
        </w:rPr>
        <w:t>3.3.3验收标准和方法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（1）质量标准。乙方保证提供的服务质量应符合中华人民共和国相关标准及相应的技术规范、本次采购相关文件中的全部相关要求及乙方相关服务标准及相应的技术规范中之较高者。 （2）验收组织。甲方负责按规定组织验收工作并出具验收书，涉及向学校师生提供的公共服务项目，验收时须邀请服务对象参与并出具意见。</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jc w:val="left"/>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生效后，待服务期满并经采购人验收合格后，60天内一次性付清服务费用。在合同履行过程中，若采购人根据实际情况增加合同约定之外的服务内容，该部分增加的服务不调整合同总价，供应商有义务完成。若采购人根据实际情况要求减少合同约定的服务内容，双方应就减少部分所对应的费用进行核减，相应调减合同总价。（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服务不符合其投标承诺，存在偷工减料、以次充好情形的，采购人要求更换一次后仍不符合约定的，采购人有权解除采购合同，没收履约保证金，并将有关情况上报政府采购监管部门处理。</w:t>
      </w:r>
    </w:p>
    <w:p>
      <w:pPr>
        <w:pStyle w:val="null3"/>
        <w:outlineLvl w:val="3"/>
      </w:pPr>
      <w:r>
        <w:rPr>
          <w:rFonts w:ascii="仿宋_GB2312" w:hAnsi="仿宋_GB2312" w:cs="仿宋_GB2312" w:eastAsia="仿宋_GB2312"/>
          <w:sz w:val="24"/>
          <w:b/>
        </w:rPr>
        <w:t>3.4 其它要求</w:t>
      </w:r>
    </w:p>
    <w:p>
      <w:pPr>
        <w:pStyle w:val="null3"/>
      </w:pPr>
      <w:r>
        <w:rPr>
          <w:rFonts w:ascii="仿宋_GB2312" w:hAnsi="仿宋_GB2312" w:cs="仿宋_GB2312" w:eastAsia="仿宋_GB2312"/>
        </w:rPr>
        <w:t>纸质投标文件要求：①为顺利推进政府采购电子化交易平台应用工作，供应商需要在线提交所有通过电子化交易平台实施的政府采购项目的响应文件，同时，线下提交纸质响应文件正本壹份、副本贰份。②纸质响应文件正、副本分别胶装，标明供应商名称密封递交，递交截止时间同在线递交电子响应文件截止时间一致，递交地址：陕西省西安市曲江新区雁翔路3269号旺座曲江D座30层3001号（纸质响应文件可邮寄，邮件发出时间应在递交电子响应文件截止时间之前，邮寄地址：陕西省西安市曲江新区雁翔路3269号旺座曲江D座30层3001号，联系人：王工，联系电话：15091632950）。③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2024或2025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评审专家是采取随机方式在采购一体化平台的专家库系统（以下简称专家库系统）抽取。技术复杂、专业性较强的采购项目，评审专家中应当包含1名法律专家。</w:t>
      </w:r>
    </w:p>
    <w:p>
      <w:pPr>
        <w:pStyle w:val="null3"/>
        <w:ind w:firstLine="480"/>
        <w:jc w:val="left"/>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（二）审查供应商响应文件是否满足谈判文件要求，并作出公正评价；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（五）起草谈判报告并进行签署；</w:t>
      </w:r>
    </w:p>
    <w:p>
      <w:pPr>
        <w:pStyle w:val="null3"/>
        <w:ind w:firstLine="480"/>
      </w:pPr>
      <w:r>
        <w:rPr>
          <w:rFonts w:ascii="仿宋_GB2312" w:hAnsi="仿宋_GB2312" w:cs="仿宋_GB2312" w:eastAsia="仿宋_GB2312"/>
        </w:rPr>
        <w:t>（六）向采购人、代理机构、财政部门或者其他监督部门报告非法干预评审工作的行为；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出现上述应当停止评审情形的，谈判小组应当通过项目电子化交易系统向采购组织单位提交相关说明材料，说明停止评审的情形和具体理由。</w:t>
      </w:r>
    </w:p>
    <w:p>
      <w:pPr>
        <w:pStyle w:val="null3"/>
        <w:ind w:firstLine="480"/>
        <w:jc w:val="left"/>
      </w:pPr>
      <w:r>
        <w:rPr>
          <w:rFonts w:ascii="仿宋_GB2312" w:hAnsi="仿宋_GB2312" w:cs="仿宋_GB2312" w:eastAsia="仿宋_GB2312"/>
        </w:rPr>
        <w:t>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采购评审中出现下列情形之一的，谈判小组应当启动异常低价响应审查程序：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（4）谈判小组基于专业判断，认为供应商报价过低，有可能影响产品质量或者不能诚信履约的其他情形。 谈判小组启动异常低价响应审查后，属于前述第1项至第4项情形的，应当要求相关供应商在评审现场于30分钟内对响应价格作出解释，提供项目具体成本测算等与报价合理性相关的书面说明及必要的以下证明材料：①提交书面说明，书面说明应当按照国家财务会计制度的规定要求，逐项就供应商提供服务的主营业务成本、税金及附加、销售费用、管理费用、财务费用等成本构成；②提交相关证明材料（类似项目类似报价合同、验收报告、发票等）；供应商不能证明其报价合理性的或者未在规定时间内提交材料或者提交了材料但是材料不齐全得，谈判小组应当将其作为无效谈判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供应商名称与营业执照一致（合格）供应商名称与营业执照不一致（不合格）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响应文件按采购文件要求的数量、计量单位、报价货币及签字盖章</w:t>
            </w:r>
          </w:p>
        </w:tc>
        <w:tc>
          <w:tcPr>
            <w:tcW w:type="dxa" w:w="3322"/>
          </w:tcPr>
          <w:p>
            <w:pPr>
              <w:pStyle w:val="null3"/>
            </w:pPr>
            <w:r>
              <w:rPr>
                <w:rFonts w:ascii="仿宋_GB2312" w:hAnsi="仿宋_GB2312" w:cs="仿宋_GB2312" w:eastAsia="仿宋_GB2312"/>
              </w:rPr>
              <w:t>响应文件按采购文件要求的数量、计量单位、报价货币及签字盖章（合格）响应文件未按采购文件要求的数量、计量单位、报价货币及签字盖章（不合格）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响应有效期满足采购文件要求</w:t>
            </w:r>
          </w:p>
        </w:tc>
        <w:tc>
          <w:tcPr>
            <w:tcW w:type="dxa" w:w="3322"/>
          </w:tcPr>
          <w:p>
            <w:pPr>
              <w:pStyle w:val="null3"/>
            </w:pPr>
            <w:r>
              <w:rPr>
                <w:rFonts w:ascii="仿宋_GB2312" w:hAnsi="仿宋_GB2312" w:cs="仿宋_GB2312" w:eastAsia="仿宋_GB2312"/>
              </w:rPr>
              <w:t>响应有效期满足采购文件要求（合格）响应有效期不满足采购文件要求（不合格）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技术、商务响应满足实质性要求</w:t>
            </w:r>
          </w:p>
        </w:tc>
        <w:tc>
          <w:tcPr>
            <w:tcW w:type="dxa" w:w="3322"/>
          </w:tcPr>
          <w:p>
            <w:pPr>
              <w:pStyle w:val="null3"/>
            </w:pPr>
            <w:r>
              <w:rPr>
                <w:rFonts w:ascii="仿宋_GB2312" w:hAnsi="仿宋_GB2312" w:cs="仿宋_GB2312" w:eastAsia="仿宋_GB2312"/>
              </w:rPr>
              <w:t>技术响应满足第三章3.2服务内容及服务要求，商务响应满足第三章3.3商务要求（合格），任意一条不满足（不合格）</w:t>
            </w:r>
          </w:p>
        </w:tc>
        <w:tc>
          <w:tcPr>
            <w:tcW w:type="dxa" w:w="1661"/>
          </w:tcPr>
          <w:p>
            <w:pPr>
              <w:pStyle w:val="null3"/>
            </w:pPr>
            <w:r>
              <w:rPr>
                <w:rFonts w:ascii="仿宋_GB2312" w:hAnsi="仿宋_GB2312" w:cs="仿宋_GB2312" w:eastAsia="仿宋_GB2312"/>
              </w:rPr>
              <w:t>服务方案 服务内容及服务要求应答表.docx 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符合法律、法规和采购文件中规定的其他实质性要求（合格）不符合法律、法规和采购文件中规定的其他实质性要求（不合格）</w:t>
            </w:r>
          </w:p>
        </w:tc>
        <w:tc>
          <w:tcPr>
            <w:tcW w:type="dxa" w:w="1661"/>
          </w:tcPr>
          <w:p>
            <w:pPr>
              <w:pStyle w:val="null3"/>
            </w:pPr>
            <w:r>
              <w:rPr>
                <w:rFonts w:ascii="仿宋_GB2312" w:hAnsi="仿宋_GB2312" w:cs="仿宋_GB2312" w:eastAsia="仿宋_GB2312"/>
              </w:rPr>
              <w:t>保证金缴纳凭证.docx 服务内容及服务要求应答表.docx 商务应答表.docx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jc w:val="left"/>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6.3.10谈判异议处理规则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