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版本号：GCZB2026-03-021-W20260417001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阎良校区老图书馆改造升级项目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GCZB2026-03-021-W</w:t>
      </w:r>
      <w:r>
        <w:br/>
      </w:r>
      <w:r>
        <w:br/>
      </w:r>
      <w:r>
        <w:br/>
      </w:r>
    </w:p>
    <w:p>
      <w:pPr>
        <w:pStyle w:val="null3"/>
        <w:jc w:val="center"/>
        <w:outlineLvl w:val="2"/>
      </w:pPr>
      <w:r>
        <w:rPr>
          <w:rFonts w:ascii="仿宋_GB2312" w:hAnsi="仿宋_GB2312" w:cs="仿宋_GB2312" w:eastAsia="仿宋_GB2312"/>
          <w:sz w:val="28"/>
          <w:b/>
        </w:rPr>
        <w:t>西安航空学院</w:t>
      </w:r>
    </w:p>
    <w:p>
      <w:pPr>
        <w:pStyle w:val="null3"/>
        <w:jc w:val="center"/>
        <w:outlineLvl w:val="2"/>
      </w:pPr>
      <w:r>
        <w:rPr>
          <w:rFonts w:ascii="仿宋_GB2312" w:hAnsi="仿宋_GB2312" w:cs="仿宋_GB2312" w:eastAsia="仿宋_GB2312"/>
          <w:sz w:val="28"/>
          <w:b/>
        </w:rPr>
        <w:t>陕西国创招标有限公司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2026年04月17日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陕西国创招标有限公司</w:t>
      </w:r>
      <w:r>
        <w:rPr>
          <w:rFonts w:ascii="仿宋_GB2312" w:hAnsi="仿宋_GB2312" w:cs="仿宋_GB2312" w:eastAsia="仿宋_GB2312"/>
        </w:rPr>
        <w:t>（以下简称“代理机构”）受</w:t>
      </w:r>
      <w:r>
        <w:rPr>
          <w:rFonts w:ascii="仿宋_GB2312" w:hAnsi="仿宋_GB2312" w:cs="仿宋_GB2312" w:eastAsia="仿宋_GB2312"/>
        </w:rPr>
        <w:t>西安航空学院</w:t>
      </w:r>
      <w:r>
        <w:rPr>
          <w:rFonts w:ascii="仿宋_GB2312" w:hAnsi="仿宋_GB2312" w:cs="仿宋_GB2312" w:eastAsia="仿宋_GB2312"/>
        </w:rPr>
        <w:t>委托，拟对</w:t>
      </w:r>
      <w:r>
        <w:rPr>
          <w:rFonts w:ascii="仿宋_GB2312" w:hAnsi="仿宋_GB2312" w:cs="仿宋_GB2312" w:eastAsia="仿宋_GB2312"/>
        </w:rPr>
        <w:t>阎良校区老图书馆改造升级项目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GCZB2026-03-021-W</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阎良校区老图书馆改造升级项目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西安航空学院阎良校区老图书馆改造升级项目，具体内容详见第三章技术、服务标准和要求。</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采购包1（西安航空学院阎良校区老图书馆改造升级项目）：属于专门面向中小企业采购。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1、具有独立承担民事责任能力：具有独立承担民事责任能力的法人、其他组织或自然人，并出具合法有效的营业执照或事业单位法人证书等国家规定的相关证明，自然人参与的提供其身份证明；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2、财务状况报告：提供经审计的完整的2024年度或2025年度的财务报告或提交响应文件截止时间前六个月内其基本账户开户银行出具的资信证明；其他组织和自然人提供银行出具的资信证明或财务报表；</w:t>
      </w:r>
    </w:p>
    <w:p>
      <w:pPr>
        <w:pStyle w:val="null3"/>
      </w:pPr>
      <w:r>
        <w:rPr>
          <w:rFonts w:ascii="仿宋_GB2312" w:hAnsi="仿宋_GB2312" w:cs="仿宋_GB2312" w:eastAsia="仿宋_GB2312"/>
        </w:rPr>
        <w:t>3、税收缴纳证明：提供递交响应文件截止之日前一年内任意一个月的依法缴纳税收的相关凭据（时间以税款所属日期为准、税种至少包含增值税或企业所得税），凭据应有税务机关或代收机关的公章或业务专用章。依法免税或无须缴纳税收的供应商应提供相应证明文件；</w:t>
      </w:r>
    </w:p>
    <w:p>
      <w:pPr>
        <w:pStyle w:val="null3"/>
      </w:pPr>
      <w:r>
        <w:rPr>
          <w:rFonts w:ascii="仿宋_GB2312" w:hAnsi="仿宋_GB2312" w:cs="仿宋_GB2312" w:eastAsia="仿宋_GB2312"/>
        </w:rPr>
        <w:t>4、社会保障资金缴纳证明：提供响应文件递交截止日前一年内已缴存的任意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5、书面声明：参加本次政府采购活动前三年内在经营活动中没有重大违纪，以及未被列入失信被执行人、重大税收违法案件当事人名单、政府采购严重违法失信行为记录名单的书面声明；本项目拒绝被列入失信被执行人、重大税收违法案件当事人名单、政府采购严重违法失信行为的供应商参与；</w:t>
      </w:r>
    </w:p>
    <w:p>
      <w:pPr>
        <w:pStyle w:val="null3"/>
      </w:pPr>
      <w:r>
        <w:rPr>
          <w:rFonts w:ascii="仿宋_GB2312" w:hAnsi="仿宋_GB2312" w:cs="仿宋_GB2312" w:eastAsia="仿宋_GB2312"/>
        </w:rPr>
        <w:t>6、具有履行合同所必需的设备和专业技术能力：具有履行合同所必需的设备和专业技术能力的承诺及说明；</w:t>
      </w:r>
    </w:p>
    <w:p>
      <w:pPr>
        <w:pStyle w:val="null3"/>
      </w:pPr>
      <w:r>
        <w:rPr>
          <w:rFonts w:ascii="仿宋_GB2312" w:hAnsi="仿宋_GB2312" w:cs="仿宋_GB2312" w:eastAsia="仿宋_GB2312"/>
        </w:rPr>
        <w:t>7、法定代表人授权书：供应商应授权合法的人员参加磋商，其中法定代表人直接参加的，须出具法定代表人证明书；被授权代表参加的，须出具法定代表人授权书；（非法人单位的负责人均参照执行）；</w:t>
      </w:r>
    </w:p>
    <w:p>
      <w:pPr>
        <w:pStyle w:val="null3"/>
      </w:pPr>
      <w:r>
        <w:rPr>
          <w:rFonts w:ascii="仿宋_GB2312" w:hAnsi="仿宋_GB2312" w:cs="仿宋_GB2312" w:eastAsia="仿宋_GB2312"/>
        </w:rPr>
        <w:t>8、建筑资质：具备建设行政主管部门核发的建筑工程施工总承包三级及以上资质；</w:t>
      </w:r>
    </w:p>
    <w:p>
      <w:pPr>
        <w:pStyle w:val="null3"/>
      </w:pPr>
      <w:r>
        <w:rPr>
          <w:rFonts w:ascii="仿宋_GB2312" w:hAnsi="仿宋_GB2312" w:cs="仿宋_GB2312" w:eastAsia="仿宋_GB2312"/>
        </w:rPr>
        <w:t>9、安全生产许可证：具备有效的安全生产许可证；</w:t>
      </w:r>
    </w:p>
    <w:p>
      <w:pPr>
        <w:pStyle w:val="null3"/>
      </w:pPr>
      <w:r>
        <w:rPr>
          <w:rFonts w:ascii="仿宋_GB2312" w:hAnsi="仿宋_GB2312" w:cs="仿宋_GB2312" w:eastAsia="仿宋_GB2312"/>
        </w:rPr>
        <w:t>10、项目经理：拟派项目经理须具备建筑工程专业二级（含二级）及以上建造师资格，同时具备有效的安全生产考核合格证（建安B证），且无在建项目（提供无在建工程承诺书）；</w:t>
      </w:r>
    </w:p>
    <w:p>
      <w:pPr>
        <w:pStyle w:val="null3"/>
      </w:pPr>
      <w:r>
        <w:rPr>
          <w:rFonts w:ascii="仿宋_GB2312" w:hAnsi="仿宋_GB2312" w:cs="仿宋_GB2312" w:eastAsia="仿宋_GB2312"/>
        </w:rPr>
        <w:t>11、落实政府采购政策需满足的资格要求：本项目专门面向中小企业采购，供应商应为中小微企业或监狱企业或残疾人福利性单位。供应商为中型、小型、微型企业的，提供《中小企业声明函》；供应商为监狱企业的，应提供监狱企业的证明文件；供应商为残疾人福利性单位的，应提供《残疾人福利性单位声明函》；</w:t>
      </w:r>
    </w:p>
    <w:p>
      <w:pPr>
        <w:pStyle w:val="null3"/>
      </w:pPr>
      <w:r>
        <w:rPr>
          <w:rFonts w:ascii="仿宋_GB2312" w:hAnsi="仿宋_GB2312" w:cs="仿宋_GB2312" w:eastAsia="仿宋_GB2312"/>
        </w:rPr>
        <w:t>12、直接控股、管理关系：单位负责人为同一人或存在直接控股、管理关系的不同单位，不得同时参加本项目投标活动。</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西安航空学院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西安市西二环259号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谢老师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029-81672802</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陕西国创招标有限公司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西安市莲湖区高新一路5号正信大厦A座24楼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710077</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王璐 任亚明 魏存刚</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029-88899363</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采购包1：3,303,000.00元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采购包1保证金金额：66,000.00元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开户名称：陕西国创招标有限公司</w:t>
            </w:r>
          </w:p>
          <w:p>
            <w:pPr>
              <w:pStyle w:val="null3"/>
            </w:pPr>
            <w:r>
              <w:rPr>
                <w:rFonts w:ascii="仿宋_GB2312" w:hAnsi="仿宋_GB2312" w:cs="仿宋_GB2312" w:eastAsia="仿宋_GB2312"/>
              </w:rPr>
              <w:t>开户银行：招商银行股份有限公司西安高新技术开发区支行</w:t>
            </w:r>
          </w:p>
          <w:p>
            <w:pPr>
              <w:pStyle w:val="null3"/>
            </w:pPr>
            <w:r>
              <w:rPr>
                <w:rFonts w:ascii="仿宋_GB2312" w:hAnsi="仿宋_GB2312" w:cs="仿宋_GB2312" w:eastAsia="仿宋_GB2312"/>
              </w:rPr>
              <w:t>银行账号：129905629810401</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说明：中标人在签订合同前向采购人缴纳合同总价5%的履约保证金，待项目验收合格后无息退还。</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代理服务费收费标准：参照国家发展和改革委员会《招标代理服务收费暂行办法》（计价格[2002]1980号）及发改办价格[2003]857号文件的规定标准收取。</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采购包1：组织现场踏勘：是</w:t>
            </w:r>
          </w:p>
          <w:p>
            <w:pPr>
              <w:pStyle w:val="null3"/>
              <w:ind w:firstLine="975"/>
            </w:pPr>
            <w:r>
              <w:rPr>
                <w:rFonts w:ascii="仿宋_GB2312" w:hAnsi="仿宋_GB2312" w:cs="仿宋_GB2312" w:eastAsia="仿宋_GB2312"/>
              </w:rPr>
              <w:t>踏勘时间：2026-04-25 14:30:00</w:t>
            </w:r>
          </w:p>
          <w:p>
            <w:pPr>
              <w:pStyle w:val="null3"/>
              <w:ind w:firstLine="975"/>
            </w:pPr>
            <w:r>
              <w:rPr>
                <w:rFonts w:ascii="仿宋_GB2312" w:hAnsi="仿宋_GB2312" w:cs="仿宋_GB2312" w:eastAsia="仿宋_GB2312"/>
              </w:rPr>
              <w:t>踏勘地点：西安市阎良区蓝天二路9号</w:t>
            </w:r>
          </w:p>
          <w:p>
            <w:pPr>
              <w:pStyle w:val="null3"/>
              <w:ind w:firstLine="975"/>
            </w:pPr>
            <w:r>
              <w:rPr>
                <w:rFonts w:ascii="仿宋_GB2312" w:hAnsi="仿宋_GB2312" w:cs="仿宋_GB2312" w:eastAsia="仿宋_GB2312"/>
              </w:rPr>
              <w:t>联系人：郑老师</w:t>
            </w:r>
          </w:p>
          <w:p>
            <w:pPr>
              <w:pStyle w:val="null3"/>
              <w:ind w:firstLine="975"/>
            </w:pPr>
            <w:r>
              <w:rPr>
                <w:rFonts w:ascii="仿宋_GB2312" w:hAnsi="仿宋_GB2312" w:cs="仿宋_GB2312" w:eastAsia="仿宋_GB2312"/>
              </w:rPr>
              <w:t>联系电话号码：15091371192</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西安航空学院</w:t>
      </w:r>
      <w:r>
        <w:rPr>
          <w:rFonts w:ascii="仿宋_GB2312" w:hAnsi="仿宋_GB2312" w:cs="仿宋_GB2312" w:eastAsia="仿宋_GB2312"/>
        </w:rPr>
        <w:t>和</w:t>
      </w:r>
      <w:r>
        <w:rPr>
          <w:rFonts w:ascii="仿宋_GB2312" w:hAnsi="仿宋_GB2312" w:cs="仿宋_GB2312" w:eastAsia="仿宋_GB2312"/>
        </w:rPr>
        <w:t>陕西国创招标有限公司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西安航空学院</w:t>
      </w:r>
      <w:r>
        <w:rPr>
          <w:rFonts w:ascii="仿宋_GB2312" w:hAnsi="仿宋_GB2312" w:cs="仿宋_GB2312" w:eastAsia="仿宋_GB2312"/>
        </w:rPr>
        <w:t>负责解释。除上述磋商文件内容，其他内容由</w:t>
      </w:r>
      <w:r>
        <w:rPr>
          <w:rFonts w:ascii="仿宋_GB2312" w:hAnsi="仿宋_GB2312" w:cs="仿宋_GB2312" w:eastAsia="仿宋_GB2312"/>
        </w:rPr>
        <w:t>陕西国创招标有限公司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西安航空学院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陕西国创招标有限公司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pPr>
      <w:r>
        <w:rPr>
          <w:rFonts w:ascii="仿宋_GB2312" w:hAnsi="仿宋_GB2312" w:cs="仿宋_GB2312" w:eastAsia="仿宋_GB2312"/>
        </w:rPr>
        <w:t>响应文件开启时间前，供应商登录项目电子化交易系统-“开标/开启大厅”，等待代理机构开启磋商。</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根据磋商文件、响应文件以及合同约定执行，履约验收组织单位：后勤保障处。</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陕西国创招标有限公司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陕西国创招标有限公司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陕西国创招标有限公司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联系人：任亚明</w:t>
      </w:r>
    </w:p>
    <w:p>
      <w:pPr>
        <w:pStyle w:val="null3"/>
      </w:pPr>
      <w:r>
        <w:rPr>
          <w:rFonts w:ascii="仿宋_GB2312" w:hAnsi="仿宋_GB2312" w:cs="仿宋_GB2312" w:eastAsia="仿宋_GB2312"/>
        </w:rPr>
        <w:t>联系电话：029-88899363（2290417378@qq.com）</w:t>
      </w:r>
    </w:p>
    <w:p>
      <w:pPr>
        <w:pStyle w:val="null3"/>
      </w:pPr>
      <w:r>
        <w:rPr>
          <w:rFonts w:ascii="仿宋_GB2312" w:hAnsi="仿宋_GB2312" w:cs="仿宋_GB2312" w:eastAsia="仿宋_GB2312"/>
        </w:rPr>
        <w:t>地址：西安市莲湖区高新一路正信大厦A座24楼</w:t>
      </w:r>
    </w:p>
    <w:p>
      <w:pPr>
        <w:pStyle w:val="null3"/>
      </w:pPr>
      <w:r>
        <w:rPr>
          <w:rFonts w:ascii="仿宋_GB2312" w:hAnsi="仿宋_GB2312" w:cs="仿宋_GB2312" w:eastAsia="仿宋_GB2312"/>
        </w:rPr>
        <w:t>邮编：710077</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3,303,000.00</w:t>
      </w:r>
    </w:p>
    <w:p>
      <w:pPr>
        <w:pStyle w:val="null3"/>
      </w:pPr>
      <w:r>
        <w:rPr>
          <w:rFonts w:ascii="仿宋_GB2312" w:hAnsi="仿宋_GB2312" w:cs="仿宋_GB2312" w:eastAsia="仿宋_GB2312"/>
        </w:rPr>
        <w:t>采购包最高限价（元）: 3,303,000.00</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阎良校区老图书馆改造升级</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3,303,000.00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标的名称：阎良校区老图书馆改造升级</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1、</w:t>
            </w:r>
            <w:r>
              <w:rPr>
                <w:rFonts w:ascii="仿宋_GB2312" w:hAnsi="仿宋_GB2312" w:cs="仿宋_GB2312" w:eastAsia="仿宋_GB2312"/>
              </w:rPr>
              <w:t>项目概述：</w:t>
            </w:r>
          </w:p>
          <w:p>
            <w:pPr>
              <w:pStyle w:val="null3"/>
            </w:pPr>
            <w:r>
              <w:rPr>
                <w:rFonts w:ascii="仿宋_GB2312" w:hAnsi="仿宋_GB2312" w:cs="仿宋_GB2312" w:eastAsia="仿宋_GB2312"/>
                <w:sz w:val="21"/>
              </w:rPr>
              <w:t xml:space="preserve">  </w:t>
            </w:r>
            <w:r>
              <w:rPr>
                <w:rFonts w:ascii="仿宋_GB2312" w:hAnsi="仿宋_GB2312" w:cs="仿宋_GB2312" w:eastAsia="仿宋_GB2312"/>
                <w:sz w:val="21"/>
              </w:rPr>
              <w:t>计划对阎良校区老图书馆实施改造升级。该楼改造总建筑面积约</w:t>
            </w:r>
            <w:r>
              <w:rPr>
                <w:rFonts w:ascii="仿宋_GB2312" w:hAnsi="仿宋_GB2312" w:cs="仿宋_GB2312" w:eastAsia="仿宋_GB2312"/>
                <w:sz w:val="21"/>
              </w:rPr>
              <w:t>5797㎡，地上共3层。项目改造完成后，预计可新增108间房间（具体以设计单位出具的施工图为准）。主要工程内容涵盖墙面隔断砌筑、门窗改造、暖气管道改造、电气系统改造、控电模块改造、给排水系统改造、空调移机等工程，具体以学校要求的实际工程情况为准。</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rPr>
              <w:t>2、</w:t>
            </w:r>
            <w:r>
              <w:rPr>
                <w:rFonts w:ascii="仿宋_GB2312" w:hAnsi="仿宋_GB2312" w:cs="仿宋_GB2312" w:eastAsia="仿宋_GB2312"/>
              </w:rPr>
              <w:t>工程主要内容及预估量</w:t>
            </w:r>
            <w:r>
              <w:rPr>
                <w:rFonts w:ascii="仿宋_GB2312" w:hAnsi="仿宋_GB2312" w:cs="仿宋_GB2312" w:eastAsia="仿宋_GB2312"/>
              </w:rPr>
              <w:t>：</w:t>
            </w:r>
          </w:p>
          <w:p>
            <w:pPr>
              <w:pStyle w:val="null3"/>
            </w:pPr>
            <w:r>
              <w:rPr>
                <w:rFonts w:ascii="仿宋_GB2312" w:hAnsi="仿宋_GB2312" w:cs="仿宋_GB2312" w:eastAsia="仿宋_GB2312"/>
              </w:rPr>
              <w:t>工程主要内容与预估量详见施工图纸及工程量清单</w:t>
            </w:r>
          </w:p>
          <w:p>
            <w:pPr>
              <w:pStyle w:val="null3"/>
            </w:pPr>
            <w:r>
              <w:rPr>
                <w:rFonts w:ascii="仿宋_GB2312" w:hAnsi="仿宋_GB2312" w:cs="仿宋_GB2312" w:eastAsia="仿宋_GB2312"/>
                <w:sz w:val="21"/>
              </w:rPr>
              <w:t>详见附件</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pPr>
            <w:r>
              <w:rPr>
                <w:rFonts w:ascii="仿宋_GB2312" w:hAnsi="仿宋_GB2312" w:cs="仿宋_GB2312" w:eastAsia="仿宋_GB2312"/>
              </w:rPr>
              <w:t>3、</w:t>
            </w:r>
            <w:r>
              <w:rPr>
                <w:rFonts w:ascii="仿宋_GB2312" w:hAnsi="仿宋_GB2312" w:cs="仿宋_GB2312" w:eastAsia="仿宋_GB2312"/>
              </w:rPr>
              <w:t>技术要求：</w:t>
            </w:r>
          </w:p>
          <w:p>
            <w:pPr>
              <w:pStyle w:val="null3"/>
            </w:pPr>
            <w:r>
              <w:rPr>
                <w:rFonts w:ascii="仿宋_GB2312" w:hAnsi="仿宋_GB2312" w:cs="仿宋_GB2312" w:eastAsia="仿宋_GB2312"/>
              </w:rPr>
              <w:t>（</w:t>
            </w:r>
            <w:r>
              <w:rPr>
                <w:rFonts w:ascii="仿宋_GB2312" w:hAnsi="仿宋_GB2312" w:cs="仿宋_GB2312" w:eastAsia="仿宋_GB2312"/>
              </w:rPr>
              <w:t>1）项目的材料、设备、施工均须达到中华人民共和国现行及省、自治区、直辖市或行业的工程建设标准、强制性条文、规范的要求。</w:t>
            </w:r>
          </w:p>
          <w:p>
            <w:pPr>
              <w:pStyle w:val="null3"/>
            </w:pPr>
            <w:r>
              <w:rPr>
                <w:rFonts w:ascii="仿宋_GB2312" w:hAnsi="仿宋_GB2312" w:cs="仿宋_GB2312" w:eastAsia="仿宋_GB2312"/>
              </w:rPr>
              <w:t>（</w:t>
            </w:r>
            <w:r>
              <w:rPr>
                <w:rFonts w:ascii="仿宋_GB2312" w:hAnsi="仿宋_GB2312" w:cs="仿宋_GB2312" w:eastAsia="仿宋_GB2312"/>
              </w:rPr>
              <w:t>2）若项目的材料、设备、施工无上述标准，订货、采购及施工、安装时，应提供生产厂家或施工企业、安装企业在技术监督部门备案的企业标准，并经监理单位和采购人认定质量合格后方可实施。</w:t>
            </w:r>
          </w:p>
          <w:p>
            <w:pPr>
              <w:pStyle w:val="null3"/>
            </w:pPr>
            <w:r>
              <w:rPr>
                <w:rFonts w:ascii="仿宋_GB2312" w:hAnsi="仿宋_GB2312" w:cs="仿宋_GB2312" w:eastAsia="仿宋_GB2312"/>
              </w:rPr>
              <w:t>（</w:t>
            </w:r>
            <w:r>
              <w:rPr>
                <w:rFonts w:ascii="仿宋_GB2312" w:hAnsi="仿宋_GB2312" w:cs="仿宋_GB2312" w:eastAsia="仿宋_GB2312"/>
              </w:rPr>
              <w:t>3）施工单位须遵循后勤管理部门规定，经采购人同意可使用水电，并安装独立计量装置计量缴费，相关费用由施工方承担。电费按1.00元/度、水费按5.8元/吨收取。施工前须办理用水用电手续并缴纳保证金，工程完工且结清水电费后，保证金无息退还。</w:t>
            </w:r>
          </w:p>
          <w:p>
            <w:pPr>
              <w:pStyle w:val="null3"/>
            </w:pPr>
            <w:r>
              <w:rPr>
                <w:rFonts w:ascii="仿宋_GB2312" w:hAnsi="仿宋_GB2312" w:cs="仿宋_GB2312" w:eastAsia="仿宋_GB2312"/>
              </w:rPr>
              <w:t>（</w:t>
            </w:r>
            <w:r>
              <w:rPr>
                <w:rFonts w:ascii="仿宋_GB2312" w:hAnsi="仿宋_GB2312" w:cs="仿宋_GB2312" w:eastAsia="仿宋_GB2312"/>
              </w:rPr>
              <w:t>4）工期及总造价已明确，供应商在响应时应合理确定赶工措施费，确保成交后不因赶工向发包人提出额外经济补偿。</w:t>
            </w:r>
          </w:p>
          <w:p>
            <w:pPr>
              <w:pStyle w:val="null3"/>
            </w:pPr>
            <w:r>
              <w:rPr>
                <w:rFonts w:ascii="仿宋_GB2312" w:hAnsi="仿宋_GB2312" w:cs="仿宋_GB2312" w:eastAsia="仿宋_GB2312"/>
              </w:rPr>
              <w:t>（</w:t>
            </w:r>
            <w:r>
              <w:rPr>
                <w:rFonts w:ascii="仿宋_GB2312" w:hAnsi="仿宋_GB2312" w:cs="仿宋_GB2312" w:eastAsia="仿宋_GB2312"/>
              </w:rPr>
              <w:t>5）施工过程中如遇其他工程交叉，应主动沟通协调，无条件服从校方安排。</w:t>
            </w:r>
          </w:p>
          <w:p>
            <w:pPr>
              <w:pStyle w:val="null3"/>
            </w:pPr>
            <w:r>
              <w:rPr>
                <w:rFonts w:ascii="仿宋_GB2312" w:hAnsi="仿宋_GB2312" w:cs="仿宋_GB2312" w:eastAsia="仿宋_GB2312"/>
              </w:rPr>
              <w:t>（</w:t>
            </w:r>
            <w:r>
              <w:rPr>
                <w:rFonts w:ascii="仿宋_GB2312" w:hAnsi="仿宋_GB2312" w:cs="仿宋_GB2312" w:eastAsia="仿宋_GB2312"/>
              </w:rPr>
              <w:t>6）工程资料收集整理须与施工进度同步，确保顺利通过竣工验收，按时提交完整资料。</w:t>
            </w:r>
          </w:p>
          <w:p>
            <w:pPr>
              <w:pStyle w:val="null3"/>
            </w:pPr>
            <w:r>
              <w:rPr>
                <w:rFonts w:ascii="仿宋_GB2312" w:hAnsi="仿宋_GB2312" w:cs="仿宋_GB2312" w:eastAsia="仿宋_GB2312"/>
              </w:rPr>
              <w:t>（</w:t>
            </w:r>
            <w:r>
              <w:rPr>
                <w:rFonts w:ascii="仿宋_GB2312" w:hAnsi="仿宋_GB2312" w:cs="仿宋_GB2312" w:eastAsia="仿宋_GB2312"/>
              </w:rPr>
              <w:t>7）施工须满足政府相关部门要求，尽量减少对周边环境影响。</w:t>
            </w:r>
          </w:p>
          <w:p>
            <w:pPr>
              <w:pStyle w:val="null3"/>
            </w:pPr>
            <w:r>
              <w:rPr>
                <w:rFonts w:ascii="仿宋_GB2312" w:hAnsi="仿宋_GB2312" w:cs="仿宋_GB2312" w:eastAsia="仿宋_GB2312"/>
              </w:rPr>
              <w:t>（</w:t>
            </w:r>
            <w:r>
              <w:rPr>
                <w:rFonts w:ascii="仿宋_GB2312" w:hAnsi="仿宋_GB2312" w:cs="仿宋_GB2312" w:eastAsia="仿宋_GB2312"/>
              </w:rPr>
              <w:t>8）建筑垃圾严禁长时间校内堆放，应及时外运并铺设防尘网；外运须遵守《西安市建筑垃圾管理条例》等相关规定，并负责与街办、城管等部门协调。</w:t>
            </w:r>
          </w:p>
          <w:p>
            <w:pPr>
              <w:pStyle w:val="null3"/>
            </w:pPr>
            <w:r>
              <w:rPr>
                <w:rFonts w:ascii="仿宋_GB2312" w:hAnsi="仿宋_GB2312" w:cs="仿宋_GB2312" w:eastAsia="仿宋_GB2312"/>
              </w:rPr>
              <w:t>（</w:t>
            </w:r>
            <w:r>
              <w:rPr>
                <w:rFonts w:ascii="仿宋_GB2312" w:hAnsi="仿宋_GB2312" w:cs="仿宋_GB2312" w:eastAsia="仿宋_GB2312"/>
              </w:rPr>
              <w:t>9）材料进场需实施三方联合验收，否则不可用于本工程。</w:t>
            </w:r>
          </w:p>
          <w:p>
            <w:pPr>
              <w:pStyle w:val="null3"/>
            </w:pPr>
            <w:r>
              <w:rPr>
                <w:rFonts w:ascii="仿宋_GB2312" w:hAnsi="仿宋_GB2312" w:cs="仿宋_GB2312" w:eastAsia="仿宋_GB2312"/>
              </w:rPr>
              <w:t>（</w:t>
            </w:r>
            <w:r>
              <w:rPr>
                <w:rFonts w:ascii="仿宋_GB2312" w:hAnsi="仿宋_GB2312" w:cs="仿宋_GB2312" w:eastAsia="仿宋_GB2312"/>
              </w:rPr>
              <w:t>10）项目完工后，需进行全面保洁，达到“工完、料净、场地清”标准。</w:t>
            </w:r>
          </w:p>
          <w:p>
            <w:pPr>
              <w:pStyle w:val="null3"/>
            </w:pPr>
            <w:r>
              <w:rPr>
                <w:rFonts w:ascii="仿宋_GB2312" w:hAnsi="仿宋_GB2312" w:cs="仿宋_GB2312" w:eastAsia="仿宋_GB2312"/>
              </w:rPr>
              <w:t>（</w:t>
            </w:r>
            <w:r>
              <w:rPr>
                <w:rFonts w:ascii="仿宋_GB2312" w:hAnsi="仿宋_GB2312" w:cs="仿宋_GB2312" w:eastAsia="仿宋_GB2312"/>
              </w:rPr>
              <w:t>11）乙方须按法律法规及合同约定完成施工，并在竣工后的缺陷责任期及质量保修期内承担保修责任。</w:t>
            </w:r>
          </w:p>
          <w:p>
            <w:pPr>
              <w:pStyle w:val="null3"/>
            </w:pPr>
            <w:r>
              <w:rPr>
                <w:rFonts w:ascii="仿宋_GB2312" w:hAnsi="仿宋_GB2312" w:cs="仿宋_GB2312" w:eastAsia="仿宋_GB2312"/>
                <w:sz w:val="21"/>
              </w:rPr>
              <w:t>（</w:t>
            </w:r>
            <w:r>
              <w:rPr>
                <w:rFonts w:ascii="仿宋_GB2312" w:hAnsi="仿宋_GB2312" w:cs="仿宋_GB2312" w:eastAsia="仿宋_GB2312"/>
                <w:sz w:val="21"/>
              </w:rPr>
              <w:t>12）质量标准：合格。</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jc w:val="both"/>
            </w:pPr>
            <w:r>
              <w:rPr>
                <w:rFonts w:ascii="仿宋_GB2312" w:hAnsi="仿宋_GB2312" w:cs="仿宋_GB2312" w:eastAsia="仿宋_GB2312"/>
                <w:sz w:val="20"/>
              </w:rPr>
              <w:t>4、</w:t>
            </w:r>
            <w:r>
              <w:rPr>
                <w:rFonts w:ascii="仿宋_GB2312" w:hAnsi="仿宋_GB2312" w:cs="仿宋_GB2312" w:eastAsia="仿宋_GB2312"/>
                <w:sz w:val="20"/>
              </w:rPr>
              <w:t>需执行的国家标准</w:t>
            </w:r>
            <w:r>
              <w:rPr>
                <w:rFonts w:ascii="仿宋_GB2312" w:hAnsi="仿宋_GB2312" w:cs="仿宋_GB2312" w:eastAsia="仿宋_GB2312"/>
                <w:sz w:val="20"/>
              </w:rPr>
              <w:t>、规范：</w:t>
            </w:r>
          </w:p>
          <w:p>
            <w:pPr>
              <w:pStyle w:val="null3"/>
              <w:jc w:val="both"/>
            </w:pPr>
            <w:r>
              <w:rPr>
                <w:rFonts w:ascii="仿宋_GB2312" w:hAnsi="仿宋_GB2312" w:cs="仿宋_GB2312" w:eastAsia="仿宋_GB2312"/>
                <w:sz w:val="20"/>
              </w:rPr>
              <w:t>建设工程质量管理条例</w:t>
            </w:r>
          </w:p>
          <w:p>
            <w:pPr>
              <w:pStyle w:val="null3"/>
            </w:pPr>
            <w:r>
              <w:rPr>
                <w:rFonts w:ascii="仿宋_GB2312" w:hAnsi="仿宋_GB2312" w:cs="仿宋_GB2312" w:eastAsia="仿宋_GB2312"/>
                <w:sz w:val="20"/>
              </w:rPr>
              <w:t>建筑工程施工质量验收统一标准</w:t>
            </w:r>
          </w:p>
        </w:tc>
      </w:tr>
      <w:tr>
        <w:tc>
          <w:tcPr>
            <w:tcW w:type="dxa" w:w="2769"/>
          </w:tcPr>
          <w:p>
            <w:pPr>
              <w:pStyle w:val="null3"/>
            </w:pPr>
            <w:r>
              <w:rPr>
                <w:rFonts w:ascii="仿宋_GB2312" w:hAnsi="仿宋_GB2312" w:cs="仿宋_GB2312" w:eastAsia="仿宋_GB2312"/>
              </w:rPr>
              <w:t>5</w:t>
            </w:r>
          </w:p>
        </w:tc>
        <w:tc>
          <w:tcPr>
            <w:tcW w:type="dxa" w:w="2769"/>
          </w:tcPr>
          <w:p/>
        </w:tc>
        <w:tc>
          <w:tcPr>
            <w:tcW w:type="dxa" w:w="2769"/>
          </w:tcPr>
          <w:p>
            <w:pPr>
              <w:pStyle w:val="null3"/>
            </w:pPr>
            <w:r>
              <w:rPr>
                <w:rFonts w:ascii="仿宋_GB2312" w:hAnsi="仿宋_GB2312" w:cs="仿宋_GB2312" w:eastAsia="仿宋_GB2312"/>
              </w:rPr>
              <w:t>5、服务要求：</w:t>
            </w:r>
          </w:p>
          <w:p>
            <w:pPr>
              <w:pStyle w:val="null3"/>
            </w:pPr>
            <w:r>
              <w:rPr>
                <w:rFonts w:ascii="仿宋_GB2312" w:hAnsi="仿宋_GB2312" w:cs="仿宋_GB2312" w:eastAsia="仿宋_GB2312"/>
              </w:rPr>
              <w:t>（一）工期：</w:t>
            </w:r>
            <w:r>
              <w:rPr>
                <w:rFonts w:ascii="仿宋_GB2312" w:hAnsi="仿宋_GB2312" w:cs="仿宋_GB2312" w:eastAsia="仿宋_GB2312"/>
              </w:rPr>
              <w:t>计划施工工期</w:t>
            </w:r>
            <w:r>
              <w:rPr>
                <w:rFonts w:ascii="仿宋_GB2312" w:hAnsi="仿宋_GB2312" w:cs="仿宋_GB2312" w:eastAsia="仿宋_GB2312"/>
              </w:rPr>
              <w:t>45天</w:t>
            </w:r>
            <w:r>
              <w:rPr>
                <w:rFonts w:ascii="仿宋_GB2312" w:hAnsi="仿宋_GB2312" w:cs="仿宋_GB2312" w:eastAsia="仿宋_GB2312"/>
              </w:rPr>
              <w:t>。</w:t>
            </w:r>
          </w:p>
          <w:p>
            <w:pPr>
              <w:pStyle w:val="null3"/>
              <w:ind w:firstLine="400"/>
            </w:pPr>
            <w:r>
              <w:rPr>
                <w:rFonts w:ascii="仿宋_GB2312" w:hAnsi="仿宋_GB2312" w:cs="仿宋_GB2312" w:eastAsia="仿宋_GB2312"/>
              </w:rPr>
              <w:t>中标通知书下发后</w:t>
            </w:r>
            <w:r>
              <w:rPr>
                <w:rFonts w:ascii="仿宋_GB2312" w:hAnsi="仿宋_GB2312" w:cs="仿宋_GB2312" w:eastAsia="仿宋_GB2312"/>
              </w:rPr>
              <w:t>45个日历日，施工方每延误交工一天，学校按5000/天扣除施工方工程款。</w:t>
            </w:r>
            <w:r>
              <w:rPr>
                <w:rFonts w:ascii="仿宋_GB2312" w:hAnsi="仿宋_GB2312" w:cs="仿宋_GB2312" w:eastAsia="仿宋_GB2312"/>
              </w:rPr>
              <w:t xml:space="preserve"> </w:t>
            </w:r>
          </w:p>
          <w:p>
            <w:pPr>
              <w:pStyle w:val="null3"/>
            </w:pPr>
            <w:r>
              <w:rPr>
                <w:rFonts w:ascii="仿宋_GB2312" w:hAnsi="仿宋_GB2312" w:cs="仿宋_GB2312" w:eastAsia="仿宋_GB2312"/>
              </w:rPr>
              <w:t>（</w:t>
            </w:r>
            <w:r>
              <w:rPr>
                <w:rFonts w:ascii="仿宋_GB2312" w:hAnsi="仿宋_GB2312" w:cs="仿宋_GB2312" w:eastAsia="仿宋_GB2312"/>
              </w:rPr>
              <w:t>二</w:t>
            </w:r>
            <w:r>
              <w:rPr>
                <w:rFonts w:ascii="仿宋_GB2312" w:hAnsi="仿宋_GB2312" w:cs="仿宋_GB2312" w:eastAsia="仿宋_GB2312"/>
              </w:rPr>
              <w:t>）</w:t>
            </w:r>
            <w:r>
              <w:rPr>
                <w:rFonts w:ascii="仿宋_GB2312" w:hAnsi="仿宋_GB2312" w:cs="仿宋_GB2312" w:eastAsia="仿宋_GB2312"/>
              </w:rPr>
              <w:t>质量标准：合格</w:t>
            </w:r>
            <w:r>
              <w:rPr>
                <w:rFonts w:ascii="仿宋_GB2312" w:hAnsi="仿宋_GB2312" w:cs="仿宋_GB2312" w:eastAsia="仿宋_GB2312"/>
              </w:rPr>
              <w:t>。</w:t>
            </w:r>
            <w:r>
              <w:rPr>
                <w:rFonts w:ascii="仿宋_GB2312" w:hAnsi="仿宋_GB2312" w:cs="仿宋_GB2312" w:eastAsia="仿宋_GB2312"/>
              </w:rPr>
              <w:t xml:space="preserve"> </w:t>
            </w:r>
          </w:p>
          <w:p>
            <w:pPr>
              <w:pStyle w:val="null3"/>
            </w:pPr>
            <w:r>
              <w:rPr>
                <w:rFonts w:ascii="仿宋_GB2312" w:hAnsi="仿宋_GB2312" w:cs="仿宋_GB2312" w:eastAsia="仿宋_GB2312"/>
              </w:rPr>
              <w:t>（</w:t>
            </w:r>
            <w:r>
              <w:rPr>
                <w:rFonts w:ascii="仿宋_GB2312" w:hAnsi="仿宋_GB2312" w:cs="仿宋_GB2312" w:eastAsia="仿宋_GB2312"/>
              </w:rPr>
              <w:t>三</w:t>
            </w:r>
            <w:r>
              <w:rPr>
                <w:rFonts w:ascii="仿宋_GB2312" w:hAnsi="仿宋_GB2312" w:cs="仿宋_GB2312" w:eastAsia="仿宋_GB2312"/>
              </w:rPr>
              <w:t>）</w:t>
            </w:r>
            <w:r>
              <w:rPr>
                <w:rFonts w:ascii="仿宋_GB2312" w:hAnsi="仿宋_GB2312" w:cs="仿宋_GB2312" w:eastAsia="仿宋_GB2312"/>
              </w:rPr>
              <w:t>质保期：本项目自竣工验收合格通过之日起，整体质保</w:t>
            </w:r>
            <w:r>
              <w:rPr>
                <w:rFonts w:ascii="仿宋_GB2312" w:hAnsi="仿宋_GB2312" w:cs="仿宋_GB2312" w:eastAsia="仿宋_GB2312"/>
              </w:rPr>
              <w:t>2年，防水质保5年；</w:t>
            </w:r>
          </w:p>
          <w:p>
            <w:pPr>
              <w:pStyle w:val="null3"/>
            </w:pPr>
            <w:r>
              <w:rPr>
                <w:rFonts w:ascii="仿宋_GB2312" w:hAnsi="仿宋_GB2312" w:cs="仿宋_GB2312" w:eastAsia="仿宋_GB2312"/>
              </w:rPr>
              <w:t>（</w:t>
            </w:r>
            <w:r>
              <w:rPr>
                <w:rFonts w:ascii="仿宋_GB2312" w:hAnsi="仿宋_GB2312" w:cs="仿宋_GB2312" w:eastAsia="仿宋_GB2312"/>
              </w:rPr>
              <w:t>四</w:t>
            </w:r>
            <w:r>
              <w:rPr>
                <w:rFonts w:ascii="仿宋_GB2312" w:hAnsi="仿宋_GB2312" w:cs="仿宋_GB2312" w:eastAsia="仿宋_GB2312"/>
              </w:rPr>
              <w:t>）</w:t>
            </w:r>
            <w:r>
              <w:rPr>
                <w:rFonts w:ascii="仿宋_GB2312" w:hAnsi="仿宋_GB2312" w:cs="仿宋_GB2312" w:eastAsia="仿宋_GB2312"/>
              </w:rPr>
              <w:t>保修要求：属于保修范围和内容的项目，承包人应在接到维修通知后，</w:t>
            </w:r>
            <w:r>
              <w:rPr>
                <w:rFonts w:ascii="仿宋_GB2312" w:hAnsi="仿宋_GB2312" w:cs="仿宋_GB2312" w:eastAsia="仿宋_GB2312"/>
              </w:rPr>
              <w:t>3 天内派人维修。发生紧急抢修事故（如上水管跑水、爆裂，供电设施漏、断电等），承包人应在接到事故通知后  2 小时内到达事故现场并于3 小时内完成应急维修。</w:t>
            </w:r>
            <w:r>
              <w:rPr>
                <w:rFonts w:ascii="仿宋_GB2312" w:hAnsi="仿宋_GB2312" w:cs="仿宋_GB2312" w:eastAsia="仿宋_GB2312"/>
              </w:rPr>
              <w:t xml:space="preserve"> </w:t>
            </w:r>
          </w:p>
          <w:p>
            <w:pPr>
              <w:pStyle w:val="null3"/>
            </w:pPr>
            <w:r>
              <w:rPr>
                <w:rFonts w:ascii="仿宋_GB2312" w:hAnsi="仿宋_GB2312" w:cs="仿宋_GB2312" w:eastAsia="仿宋_GB2312"/>
              </w:rPr>
              <w:t>（</w:t>
            </w:r>
            <w:r>
              <w:rPr>
                <w:rFonts w:ascii="仿宋_GB2312" w:hAnsi="仿宋_GB2312" w:cs="仿宋_GB2312" w:eastAsia="仿宋_GB2312"/>
              </w:rPr>
              <w:t>五</w:t>
            </w:r>
            <w:r>
              <w:rPr>
                <w:rFonts w:ascii="仿宋_GB2312" w:hAnsi="仿宋_GB2312" w:cs="仿宋_GB2312" w:eastAsia="仿宋_GB2312"/>
              </w:rPr>
              <w:t>）付款方式：</w:t>
            </w:r>
            <w:r>
              <w:rPr>
                <w:rFonts w:ascii="仿宋_GB2312" w:hAnsi="仿宋_GB2312" w:cs="仿宋_GB2312" w:eastAsia="仿宋_GB2312"/>
              </w:rPr>
              <w:t>本项目无预付款，竣工并通过验收后支付工程款的</w:t>
            </w:r>
            <w:r>
              <w:rPr>
                <w:rFonts w:ascii="仿宋_GB2312" w:hAnsi="仿宋_GB2312" w:cs="仿宋_GB2312" w:eastAsia="仿宋_GB2312"/>
              </w:rPr>
              <w:t>70%，审计完成后支付至审定金额的97%，质保期满后支付剩余工程款。每次付款时，乙方向甲方提供等额的增值税发票（如遇学校寒暑假，则顺延至学校开学后无息支付)。</w:t>
            </w:r>
            <w:r>
              <w:rPr>
                <w:rFonts w:ascii="仿宋_GB2312" w:hAnsi="仿宋_GB2312" w:cs="仿宋_GB2312" w:eastAsia="仿宋_GB2312"/>
              </w:rPr>
              <w:t xml:space="preserve"> </w:t>
            </w:r>
          </w:p>
          <w:p>
            <w:pPr>
              <w:pStyle w:val="null3"/>
            </w:pPr>
            <w:r>
              <w:rPr>
                <w:rFonts w:ascii="仿宋_GB2312" w:hAnsi="仿宋_GB2312" w:cs="仿宋_GB2312" w:eastAsia="仿宋_GB2312"/>
                <w:sz w:val="21"/>
              </w:rPr>
              <w:t>（</w:t>
            </w:r>
            <w:r>
              <w:rPr>
                <w:rFonts w:ascii="仿宋_GB2312" w:hAnsi="仿宋_GB2312" w:cs="仿宋_GB2312" w:eastAsia="仿宋_GB2312"/>
                <w:sz w:val="21"/>
              </w:rPr>
              <w:t>六</w:t>
            </w:r>
            <w:r>
              <w:rPr>
                <w:rFonts w:ascii="仿宋_GB2312" w:hAnsi="仿宋_GB2312" w:cs="仿宋_GB2312" w:eastAsia="仿宋_GB2312"/>
                <w:sz w:val="21"/>
              </w:rPr>
              <w:t>）</w:t>
            </w:r>
            <w:r>
              <w:rPr>
                <w:rFonts w:ascii="仿宋_GB2312" w:hAnsi="仿宋_GB2312" w:cs="仿宋_GB2312" w:eastAsia="仿宋_GB2312"/>
                <w:sz w:val="21"/>
              </w:rPr>
              <w:t>施工单位负责协调住建局、环保局以及城管等相关政府部门，确保施工过程中符合相关法规要求，及时办理各项手续，以保证项目的顺利进行。同时，施工单位需与这些政府部门保持良好的沟通与协作，及时解决施工中可能出现的问题，确保工程按期、高质量完成。</w:t>
            </w:r>
          </w:p>
        </w:tc>
      </w:tr>
      <w:tr>
        <w:tc>
          <w:tcPr>
            <w:tcW w:type="dxa" w:w="2769"/>
          </w:tcPr>
          <w:p>
            <w:pPr>
              <w:pStyle w:val="null3"/>
            </w:pPr>
            <w:r>
              <w:rPr>
                <w:rFonts w:ascii="仿宋_GB2312" w:hAnsi="仿宋_GB2312" w:cs="仿宋_GB2312" w:eastAsia="仿宋_GB2312"/>
              </w:rPr>
              <w:t>6</w:t>
            </w:r>
          </w:p>
        </w:tc>
        <w:tc>
          <w:tcPr>
            <w:tcW w:type="dxa" w:w="2769"/>
          </w:tcPr>
          <w:p/>
        </w:tc>
        <w:tc>
          <w:tcPr>
            <w:tcW w:type="dxa" w:w="2769"/>
          </w:tcPr>
          <w:p>
            <w:pPr>
              <w:pStyle w:val="null3"/>
              <w:jc w:val="both"/>
            </w:pPr>
            <w:r>
              <w:rPr>
                <w:rFonts w:ascii="仿宋_GB2312" w:hAnsi="仿宋_GB2312" w:cs="仿宋_GB2312" w:eastAsia="仿宋_GB2312"/>
                <w:sz w:val="20"/>
              </w:rPr>
              <w:t>6、</w:t>
            </w:r>
            <w:r>
              <w:rPr>
                <w:rFonts w:ascii="仿宋_GB2312" w:hAnsi="仿宋_GB2312" w:cs="仿宋_GB2312" w:eastAsia="仿宋_GB2312"/>
                <w:sz w:val="20"/>
              </w:rPr>
              <w:t>其他要求</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 xml:space="preserve">  </w:t>
            </w:r>
            <w:r>
              <w:rPr>
                <w:rFonts w:ascii="仿宋_GB2312" w:hAnsi="仿宋_GB2312" w:cs="仿宋_GB2312" w:eastAsia="仿宋_GB2312"/>
                <w:sz w:val="20"/>
              </w:rPr>
              <w:t>施工单位须满足遵守以下法规条例：</w:t>
            </w:r>
          </w:p>
          <w:p>
            <w:pPr>
              <w:pStyle w:val="null3"/>
              <w:jc w:val="both"/>
            </w:pPr>
            <w:r>
              <w:rPr>
                <w:rFonts w:ascii="仿宋_GB2312" w:hAnsi="仿宋_GB2312" w:cs="仿宋_GB2312" w:eastAsia="仿宋_GB2312"/>
                <w:sz w:val="20"/>
              </w:rPr>
              <w:t>《国务院办公厅关于建立政府强制采购节能产品制度的通知》（国发办（</w:t>
            </w:r>
            <w:r>
              <w:rPr>
                <w:rFonts w:ascii="仿宋_GB2312" w:hAnsi="仿宋_GB2312" w:cs="仿宋_GB2312" w:eastAsia="仿宋_GB2312"/>
                <w:sz w:val="20"/>
              </w:rPr>
              <w:t>2007）51号）；</w:t>
            </w:r>
          </w:p>
          <w:p>
            <w:pPr>
              <w:pStyle w:val="null3"/>
              <w:jc w:val="both"/>
            </w:pPr>
            <w:r>
              <w:rPr>
                <w:rFonts w:ascii="仿宋_GB2312" w:hAnsi="仿宋_GB2312" w:cs="仿宋_GB2312" w:eastAsia="仿宋_GB2312"/>
                <w:sz w:val="20"/>
              </w:rPr>
              <w:t>《节能产品政府采购实施意见》（财库（</w:t>
            </w:r>
            <w:r>
              <w:rPr>
                <w:rFonts w:ascii="仿宋_GB2312" w:hAnsi="仿宋_GB2312" w:cs="仿宋_GB2312" w:eastAsia="仿宋_GB2312"/>
                <w:sz w:val="20"/>
              </w:rPr>
              <w:t>2004）185号）；</w:t>
            </w:r>
          </w:p>
          <w:p>
            <w:pPr>
              <w:pStyle w:val="null3"/>
              <w:jc w:val="both"/>
            </w:pPr>
            <w:r>
              <w:rPr>
                <w:rFonts w:ascii="仿宋_GB2312" w:hAnsi="仿宋_GB2312" w:cs="仿宋_GB2312" w:eastAsia="仿宋_GB2312"/>
                <w:sz w:val="20"/>
              </w:rPr>
              <w:t>《环境标志产品政府采购实施的意见》（财库（</w:t>
            </w:r>
            <w:r>
              <w:rPr>
                <w:rFonts w:ascii="仿宋_GB2312" w:hAnsi="仿宋_GB2312" w:cs="仿宋_GB2312" w:eastAsia="仿宋_GB2312"/>
                <w:sz w:val="20"/>
              </w:rPr>
              <w:t>2006）90 号）；</w:t>
            </w:r>
          </w:p>
          <w:p>
            <w:pPr>
              <w:pStyle w:val="null3"/>
              <w:jc w:val="both"/>
            </w:pPr>
            <w:r>
              <w:rPr>
                <w:rFonts w:ascii="仿宋_GB2312" w:hAnsi="仿宋_GB2312" w:cs="仿宋_GB2312" w:eastAsia="仿宋_GB2312"/>
                <w:sz w:val="20"/>
              </w:rPr>
              <w:t>《关于调整优化节能产品、环境标志产品政府采购执行机制的通知》（财库（</w:t>
            </w:r>
            <w:r>
              <w:rPr>
                <w:rFonts w:ascii="仿宋_GB2312" w:hAnsi="仿宋_GB2312" w:cs="仿宋_GB2312" w:eastAsia="仿宋_GB2312"/>
                <w:sz w:val="20"/>
              </w:rPr>
              <w:t>2019）9号）。</w:t>
            </w:r>
          </w:p>
          <w:p>
            <w:pPr>
              <w:pStyle w:val="null3"/>
              <w:jc w:val="both"/>
            </w:pPr>
            <w:r>
              <w:rPr>
                <w:rFonts w:ascii="仿宋_GB2312" w:hAnsi="仿宋_GB2312" w:cs="仿宋_GB2312" w:eastAsia="仿宋_GB2312"/>
                <w:sz w:val="20"/>
              </w:rPr>
              <w:t>《建筑工程绿色施工规范》</w:t>
            </w:r>
            <w:r>
              <w:rPr>
                <w:rFonts w:ascii="仿宋_GB2312" w:hAnsi="仿宋_GB2312" w:cs="仿宋_GB2312" w:eastAsia="仿宋_GB2312"/>
                <w:sz w:val="20"/>
              </w:rPr>
              <w:t>GB/T 50905-2014 。</w:t>
            </w:r>
          </w:p>
          <w:p>
            <w:pPr>
              <w:pStyle w:val="null3"/>
              <w:jc w:val="both"/>
            </w:pPr>
            <w:r>
              <w:rPr>
                <w:rFonts w:ascii="仿宋_GB2312" w:hAnsi="仿宋_GB2312" w:cs="仿宋_GB2312" w:eastAsia="仿宋_GB2312"/>
                <w:sz w:val="20"/>
              </w:rPr>
              <w:t xml:space="preserve">  </w:t>
            </w:r>
            <w:r>
              <w:rPr>
                <w:rFonts w:ascii="仿宋_GB2312" w:hAnsi="仿宋_GB2312" w:cs="仿宋_GB2312" w:eastAsia="仿宋_GB2312"/>
                <w:sz w:val="20"/>
              </w:rPr>
              <w:t>配套工作上，供应商需负责设备的运输、安装、调试以及后续的培训工作。在运输过程中要采取妥善的保护措施，防止设备受损。安装过程要严格按照相关标准和规范进行，确保设备安装牢固、连接正确。调试工作要全面、细致，确保设备各项功能正常运行。同时，要为使用方提供系统的操作培训，使相关人员能够熟练掌握设备的使用和维护方法。</w:t>
            </w:r>
          </w:p>
          <w:p>
            <w:pPr>
              <w:pStyle w:val="null3"/>
              <w:jc w:val="both"/>
            </w:pPr>
            <w:r>
              <w:rPr>
                <w:rFonts w:ascii="仿宋_GB2312" w:hAnsi="仿宋_GB2312" w:cs="仿宋_GB2312" w:eastAsia="仿宋_GB2312"/>
                <w:sz w:val="20"/>
              </w:rPr>
              <w:t>绿色、节能、环保要求方面，项目所使用的材料应符合国家相关的环保标准，优先选用可回收、可再生的材料。在施工过程中，要尽量减少能源消耗，采用节能型的施工设备和工艺。对于施工过程中产生的废弃物，要进行分类处理，做到资源的合理利用和环境的有效保护。</w:t>
            </w:r>
          </w:p>
          <w:p>
            <w:pPr>
              <w:pStyle w:val="null3"/>
            </w:pPr>
            <w:r>
              <w:rPr>
                <w:rFonts w:ascii="仿宋_GB2312" w:hAnsi="仿宋_GB2312" w:cs="仿宋_GB2312" w:eastAsia="仿宋_GB2312"/>
                <w:sz w:val="20"/>
              </w:rPr>
              <w:t>其他需说明的情况，若在施工过程中遇到不可抗力因素或其他特殊情况，供应商应及时与项目单位沟通，共同协商解决方案。同时，供应商要严格遵守国家的法律法规和相关政策要求，确保项目的合法性和合规性。在项目实施过程中，要建立健全的质量管理制度和安全管理制度，保障项目的顺利进行和人员的安全。</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符合国家相关质量要求及验收标准。</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一、保证金退还:（1） 未中标单位：招标结束后，将根据所提供信息退还各投标单位保证金，无需亲自前来办理；（2）中标单位：在采购合同签订并按规定交纳代理服务费后五个工作日内退还。（办理退保证金：需提供与甲方签订的合同原件的扫描件一份（pdf格式）发送至此邮箱（945990512@qq.cpm）,发送时务必备注项目名称、项目编号和标段（无标段可不写）； 中标服务费查询请联系财务部：029-89286620转808。 二、供应商需要在线提交所有通过电子化交易平台实施的政府采购项目的响应文件，同时，线下提交响应文件叁份【正本1份，副本2份,电子版（2份，光盘、U盘各一份）,装订应牢固、采用胶装方式，不得拆散、换页等活页装订。】若电子响应文件与纸质响应文件不一致的，以电子响应文件为准。线下递交文件时间：详见本项目磋商公告文件截止时间；线下递交文件地点：西安市莲湖区高新一路5号正信大厦A座24楼。 三、保证金提供电子保函的，于开标截止时间前将保函扫描件发送至此邮箱2290417378@qq.com。</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2投标人资格证明文件.docx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2投标人资格证明文件.docx 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具有独立承担民事责任能力</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2投标人资格证明文件.docx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提供经审计的完整的2024年度或2025年度的财务报告或提交响应文件截止时间前六个月内其基本账户开户银行出具的资信证明；其他组织和自然人提供银行出具的资信证明或财务报表；</w:t>
            </w:r>
          </w:p>
        </w:tc>
        <w:tc>
          <w:tcPr>
            <w:tcW w:type="dxa" w:w="1661"/>
          </w:tcPr>
          <w:p>
            <w:pPr>
              <w:pStyle w:val="null3"/>
            </w:pPr>
            <w:r>
              <w:rPr>
                <w:rFonts w:ascii="仿宋_GB2312" w:hAnsi="仿宋_GB2312" w:cs="仿宋_GB2312" w:eastAsia="仿宋_GB2312"/>
              </w:rPr>
              <w:t>2投标人资格证明文件.docx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递交响应文件截止之日前一年内任意一个月的依法缴纳税收的相关凭据（时间以税款所属日期为准、税种至少包含增值税或企业所得税），凭据应有税务机关或代收机关的公章或业务专用章。依法免税或无须缴纳税收的供应商应提供相应证明文件；</w:t>
            </w:r>
          </w:p>
        </w:tc>
        <w:tc>
          <w:tcPr>
            <w:tcW w:type="dxa" w:w="1661"/>
          </w:tcPr>
          <w:p>
            <w:pPr>
              <w:pStyle w:val="null3"/>
            </w:pPr>
            <w:r>
              <w:rPr>
                <w:rFonts w:ascii="仿宋_GB2312" w:hAnsi="仿宋_GB2312" w:cs="仿宋_GB2312" w:eastAsia="仿宋_GB2312"/>
              </w:rPr>
              <w:t>2投标人资格证明文件.docx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提供响应文件递交截止日前一年内已缴存的任意一个月的社会保障资金缴存单据或社保机构开具的社会保险参保缴费情况证明，依法不需要缴纳社会保障资金的单位应提供相关证明材料；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2投标人资格证明文件.docx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参加本次政府采购活动前三年内在经营活动中没有重大违纪，以及未被列入失信被执行人、重大税收违法案件当事人名单、政府采购严重违法失信行为记录名单的书面声明；本项目拒绝被列入失信被执行人、重大税收违法案件当事人名单、政府采购严重违法失信行为的供应商参与；</w:t>
            </w:r>
          </w:p>
        </w:tc>
        <w:tc>
          <w:tcPr>
            <w:tcW w:type="dxa" w:w="1661"/>
          </w:tcPr>
          <w:p>
            <w:pPr>
              <w:pStyle w:val="null3"/>
            </w:pPr>
            <w:r>
              <w:rPr>
                <w:rFonts w:ascii="仿宋_GB2312" w:hAnsi="仿宋_GB2312" w:cs="仿宋_GB2312" w:eastAsia="仿宋_GB2312"/>
              </w:rPr>
              <w:t>2投标人资格证明文件.docx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具有履行合同所必需的设备和专业技术能力</w:t>
            </w:r>
          </w:p>
        </w:tc>
        <w:tc>
          <w:tcPr>
            <w:tcW w:type="dxa" w:w="3322"/>
          </w:tcPr>
          <w:p>
            <w:pPr>
              <w:pStyle w:val="null3"/>
            </w:pPr>
            <w:r>
              <w:rPr>
                <w:rFonts w:ascii="仿宋_GB2312" w:hAnsi="仿宋_GB2312" w:cs="仿宋_GB2312" w:eastAsia="仿宋_GB2312"/>
              </w:rPr>
              <w:t>具有履行合同所必需的设备和专业技术能力的承诺及说明；</w:t>
            </w:r>
          </w:p>
        </w:tc>
        <w:tc>
          <w:tcPr>
            <w:tcW w:type="dxa" w:w="1661"/>
          </w:tcPr>
          <w:p>
            <w:pPr>
              <w:pStyle w:val="null3"/>
            </w:pPr>
            <w:r>
              <w:rPr>
                <w:rFonts w:ascii="仿宋_GB2312" w:hAnsi="仿宋_GB2312" w:cs="仿宋_GB2312" w:eastAsia="仿宋_GB2312"/>
              </w:rPr>
              <w:t>2投标人资格证明文件.docx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供应商应授权合法的人员参加磋商，其中法定代表人直接参加的，须出具法定代表人证明书；被授权代表参加的，须出具法定代表人授权书；（非法人单位的负责人均参照执行）；</w:t>
            </w:r>
          </w:p>
        </w:tc>
        <w:tc>
          <w:tcPr>
            <w:tcW w:type="dxa" w:w="1661"/>
          </w:tcPr>
          <w:p>
            <w:pPr>
              <w:pStyle w:val="null3"/>
            </w:pPr>
            <w:r>
              <w:rPr>
                <w:rFonts w:ascii="仿宋_GB2312" w:hAnsi="仿宋_GB2312" w:cs="仿宋_GB2312" w:eastAsia="仿宋_GB2312"/>
              </w:rPr>
              <w:t>2投标人资格证明文件.docx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建筑资质</w:t>
            </w:r>
          </w:p>
        </w:tc>
        <w:tc>
          <w:tcPr>
            <w:tcW w:type="dxa" w:w="3322"/>
          </w:tcPr>
          <w:p>
            <w:pPr>
              <w:pStyle w:val="null3"/>
            </w:pPr>
            <w:r>
              <w:rPr>
                <w:rFonts w:ascii="仿宋_GB2312" w:hAnsi="仿宋_GB2312" w:cs="仿宋_GB2312" w:eastAsia="仿宋_GB2312"/>
              </w:rPr>
              <w:t>具备建设行政主管部门核发的建筑工程施工总承包三级及以上资质；</w:t>
            </w:r>
          </w:p>
        </w:tc>
        <w:tc>
          <w:tcPr>
            <w:tcW w:type="dxa" w:w="1661"/>
          </w:tcPr>
          <w:p>
            <w:pPr>
              <w:pStyle w:val="null3"/>
            </w:pPr>
            <w:r>
              <w:rPr>
                <w:rFonts w:ascii="仿宋_GB2312" w:hAnsi="仿宋_GB2312" w:cs="仿宋_GB2312" w:eastAsia="仿宋_GB2312"/>
              </w:rPr>
              <w:t>2投标人资格证明文件.docx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安全生产许可证</w:t>
            </w:r>
          </w:p>
        </w:tc>
        <w:tc>
          <w:tcPr>
            <w:tcW w:type="dxa" w:w="3322"/>
          </w:tcPr>
          <w:p>
            <w:pPr>
              <w:pStyle w:val="null3"/>
            </w:pPr>
            <w:r>
              <w:rPr>
                <w:rFonts w:ascii="仿宋_GB2312" w:hAnsi="仿宋_GB2312" w:cs="仿宋_GB2312" w:eastAsia="仿宋_GB2312"/>
              </w:rPr>
              <w:t>具备有效的安全生产许可证；</w:t>
            </w:r>
          </w:p>
        </w:tc>
        <w:tc>
          <w:tcPr>
            <w:tcW w:type="dxa" w:w="1661"/>
          </w:tcPr>
          <w:p>
            <w:pPr>
              <w:pStyle w:val="null3"/>
            </w:pPr>
            <w:r>
              <w:rPr>
                <w:rFonts w:ascii="仿宋_GB2312" w:hAnsi="仿宋_GB2312" w:cs="仿宋_GB2312" w:eastAsia="仿宋_GB2312"/>
              </w:rPr>
              <w:t>2投标人资格证明文件.docx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项目经理</w:t>
            </w:r>
          </w:p>
        </w:tc>
        <w:tc>
          <w:tcPr>
            <w:tcW w:type="dxa" w:w="3322"/>
          </w:tcPr>
          <w:p>
            <w:pPr>
              <w:pStyle w:val="null3"/>
            </w:pPr>
            <w:r>
              <w:rPr>
                <w:rFonts w:ascii="仿宋_GB2312" w:hAnsi="仿宋_GB2312" w:cs="仿宋_GB2312" w:eastAsia="仿宋_GB2312"/>
              </w:rPr>
              <w:t>拟派项目经理须具备建筑工程专业二级（含二级）及以上建造师资格，同时具备有效的安全生产考核合格证（建安B证），且无在建项目（提供无在建工程承诺书）；</w:t>
            </w:r>
          </w:p>
        </w:tc>
        <w:tc>
          <w:tcPr>
            <w:tcW w:type="dxa" w:w="1661"/>
          </w:tcPr>
          <w:p>
            <w:pPr>
              <w:pStyle w:val="null3"/>
            </w:pPr>
            <w:r>
              <w:rPr>
                <w:rFonts w:ascii="仿宋_GB2312" w:hAnsi="仿宋_GB2312" w:cs="仿宋_GB2312" w:eastAsia="仿宋_GB2312"/>
              </w:rPr>
              <w:t>2投标人资格证明文件.docx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落实政府采购政策需满足的资格要求</w:t>
            </w:r>
          </w:p>
        </w:tc>
        <w:tc>
          <w:tcPr>
            <w:tcW w:type="dxa" w:w="3322"/>
          </w:tcPr>
          <w:p>
            <w:pPr>
              <w:pStyle w:val="null3"/>
            </w:pPr>
            <w:r>
              <w:rPr>
                <w:rFonts w:ascii="仿宋_GB2312" w:hAnsi="仿宋_GB2312" w:cs="仿宋_GB2312" w:eastAsia="仿宋_GB2312"/>
              </w:rPr>
              <w:t>本项目专门面向中小企业采购，供应商应为中小微企业或监狱企业或残疾人福利性单位。供应商为中型、小型、微型企业的，提供《中小企业声明函》；供应商为监狱企业的，应提供监狱企业的证明文件；供应商为残疾人福利性单位的，应提供《残疾人福利性单位声明函》；</w:t>
            </w:r>
          </w:p>
        </w:tc>
        <w:tc>
          <w:tcPr>
            <w:tcW w:type="dxa" w:w="1661"/>
          </w:tcPr>
          <w:p>
            <w:pPr>
              <w:pStyle w:val="null3"/>
            </w:pPr>
            <w:r>
              <w:rPr>
                <w:rFonts w:ascii="仿宋_GB2312" w:hAnsi="仿宋_GB2312" w:cs="仿宋_GB2312" w:eastAsia="仿宋_GB2312"/>
              </w:rPr>
              <w:t>2投标人资格证明文件.docx</w:t>
            </w:r>
          </w:p>
        </w:tc>
      </w:tr>
      <w:tr>
        <w:tc>
          <w:tcPr>
            <w:tcW w:type="dxa" w:w="831"/>
          </w:tcPr>
          <w:p>
            <w:pPr>
              <w:pStyle w:val="null3"/>
            </w:pPr>
            <w:r>
              <w:rPr>
                <w:rFonts w:ascii="仿宋_GB2312" w:hAnsi="仿宋_GB2312" w:cs="仿宋_GB2312" w:eastAsia="仿宋_GB2312"/>
              </w:rPr>
              <w:t>12</w:t>
            </w:r>
          </w:p>
        </w:tc>
        <w:tc>
          <w:tcPr>
            <w:tcW w:type="dxa" w:w="2492"/>
          </w:tcPr>
          <w:p>
            <w:pPr>
              <w:pStyle w:val="null3"/>
            </w:pPr>
            <w:r>
              <w:rPr>
                <w:rFonts w:ascii="仿宋_GB2312" w:hAnsi="仿宋_GB2312" w:cs="仿宋_GB2312" w:eastAsia="仿宋_GB2312"/>
              </w:rPr>
              <w:t>直接控股、管理关系</w:t>
            </w:r>
          </w:p>
        </w:tc>
        <w:tc>
          <w:tcPr>
            <w:tcW w:type="dxa" w:w="3322"/>
          </w:tcPr>
          <w:p>
            <w:pPr>
              <w:pStyle w:val="null3"/>
            </w:pPr>
            <w:r>
              <w:rPr>
                <w:rFonts w:ascii="仿宋_GB2312" w:hAnsi="仿宋_GB2312" w:cs="仿宋_GB2312" w:eastAsia="仿宋_GB2312"/>
              </w:rPr>
              <w:t>单位负责人为同一人或存在直接控股、管理关系的不同单位，不得同时参加本项目投标活动。</w:t>
            </w:r>
          </w:p>
        </w:tc>
        <w:tc>
          <w:tcPr>
            <w:tcW w:type="dxa" w:w="1661"/>
          </w:tcPr>
          <w:p>
            <w:pPr>
              <w:pStyle w:val="null3"/>
            </w:pPr>
            <w:r>
              <w:rPr>
                <w:rFonts w:ascii="仿宋_GB2312" w:hAnsi="仿宋_GB2312" w:cs="仿宋_GB2312" w:eastAsia="仿宋_GB2312"/>
              </w:rPr>
              <w:t>2投标人资格证明文件.docx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 3、政府采购评审中出现下列情形之一的，评审委员会应当启动异常低价投标审查程序： ①投标报价低于全部通过符合性审查供应商投标报价平均值50%的，即投标报价&lt;全部通过符合性审查供应商投标报价平均值×50%； ②投标报价低于通过符合性审查的次低报价供应商投标报价50%的，即投标报价&lt;通过符合性审查的次低报价供应商投标报价×50%； ③投标报价低于采购项目最高限价45%的，即投标报价&lt;采购项目最高限价×45%； ④评审委员会基于专业判断，认为供应商报价过低，有可能影响产品质量或者不能诚信履约的其他情形。 相关法律法规对供应商报价有规定的，从其规定。 评审委员会启动异常低价投标审查后，属于前述第1项至第4项情形的，应当要求相关供应商在评审现场合理的时间内对投标价格作出解释，提供项目具体成本测算等与报价合理性相关的书面说明及必要的证明材料，包括但不限于原材料成本、人工成本、制造费用等，给予相关供应商的合理时间一般不少于30分钟。其中，属于第3项情形，供应商已随投标文件一并提交相关书面说明及必要的证明材料的，在评审现场可不再重复提交。 评审委员会依据专业经验，参考同类项目中标（成交）价格、类似产品市场价格水平、行业人工费用标准、国家有关部门指导行业协会发布的行业平均成本等情况，对报价合理性进行判断。投标供应商不能提供书面说明、证明材料，或者提供的书面说明、证明材料不能证明其报价合理性的，评审委员会应当将其作为无效投标处理。</w:t>
            </w:r>
          </w:p>
        </w:tc>
        <w:tc>
          <w:tcPr>
            <w:tcW w:type="dxa" w:w="1661"/>
          </w:tcPr>
          <w:p>
            <w:pPr>
              <w:pStyle w:val="null3"/>
            </w:pPr>
            <w:r>
              <w:rPr>
                <w:rFonts w:ascii="仿宋_GB2312" w:hAnsi="仿宋_GB2312" w:cs="仿宋_GB2312" w:eastAsia="仿宋_GB2312"/>
              </w:rPr>
              <w:t>已标价工程量清单 1报价表.docx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响应文件语言、有效期</w:t>
            </w:r>
          </w:p>
        </w:tc>
        <w:tc>
          <w:tcPr>
            <w:tcW w:type="dxa" w:w="3322"/>
          </w:tcPr>
          <w:p>
            <w:pPr>
              <w:pStyle w:val="null3"/>
            </w:pPr>
            <w:r>
              <w:rPr>
                <w:rFonts w:ascii="仿宋_GB2312" w:hAnsi="仿宋_GB2312" w:cs="仿宋_GB2312" w:eastAsia="仿宋_GB2312"/>
              </w:rPr>
              <w:t>响应文件语言、有效期符合磋商文件的要求。</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响应文件封面、投标函、法定代表人授权委托书三处的项目名称、项目编号</w:t>
            </w:r>
          </w:p>
        </w:tc>
        <w:tc>
          <w:tcPr>
            <w:tcW w:type="dxa" w:w="3322"/>
          </w:tcPr>
          <w:p>
            <w:pPr>
              <w:pStyle w:val="null3"/>
            </w:pPr>
            <w:r>
              <w:rPr>
                <w:rFonts w:ascii="仿宋_GB2312" w:hAnsi="仿宋_GB2312" w:cs="仿宋_GB2312" w:eastAsia="仿宋_GB2312"/>
              </w:rPr>
              <w:t>三处均无遗漏，且与所投项目名称、项目编号一致。</w:t>
            </w:r>
          </w:p>
        </w:tc>
        <w:tc>
          <w:tcPr>
            <w:tcW w:type="dxa" w:w="1661"/>
          </w:tcPr>
          <w:p>
            <w:pPr>
              <w:pStyle w:val="null3"/>
            </w:pPr>
            <w:r>
              <w:rPr>
                <w:rFonts w:ascii="仿宋_GB2312" w:hAnsi="仿宋_GB2312" w:cs="仿宋_GB2312" w:eastAsia="仿宋_GB2312"/>
              </w:rPr>
              <w:t>响应文件封面 2投标人资格证明文件.docx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响应文件签署、盖章</w:t>
            </w:r>
          </w:p>
        </w:tc>
        <w:tc>
          <w:tcPr>
            <w:tcW w:type="dxa" w:w="3322"/>
          </w:tcPr>
          <w:p>
            <w:pPr>
              <w:pStyle w:val="null3"/>
            </w:pPr>
            <w:r>
              <w:rPr>
                <w:rFonts w:ascii="仿宋_GB2312" w:hAnsi="仿宋_GB2312" w:cs="仿宋_GB2312" w:eastAsia="仿宋_GB2312"/>
              </w:rPr>
              <w:t>均按磋商文件要求签字、盖章。</w:t>
            </w:r>
          </w:p>
        </w:tc>
        <w:tc>
          <w:tcPr>
            <w:tcW w:type="dxa" w:w="1661"/>
          </w:tcPr>
          <w:p>
            <w:pPr>
              <w:pStyle w:val="null3"/>
            </w:pPr>
            <w:r>
              <w:rPr>
                <w:rFonts w:ascii="仿宋_GB2312" w:hAnsi="仿宋_GB2312" w:cs="仿宋_GB2312" w:eastAsia="仿宋_GB2312"/>
              </w:rPr>
              <w:t>响应文件封面 3响应偏差表及商务响应说明.docx 1报价表.docx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响应报价表</w:t>
            </w:r>
          </w:p>
        </w:tc>
        <w:tc>
          <w:tcPr>
            <w:tcW w:type="dxa" w:w="3322"/>
          </w:tcPr>
          <w:p>
            <w:pPr>
              <w:pStyle w:val="null3"/>
            </w:pPr>
            <w:r>
              <w:rPr>
                <w:rFonts w:ascii="仿宋_GB2312" w:hAnsi="仿宋_GB2312" w:cs="仿宋_GB2312" w:eastAsia="仿宋_GB2312"/>
              </w:rPr>
              <w:t>（1）响应报价表填写符合要求； （2）计量单位、报价货币均符合谈判文件要求； （3）投标报价未超出采购预算或招标文件规定的最高限价。</w:t>
            </w:r>
          </w:p>
        </w:tc>
        <w:tc>
          <w:tcPr>
            <w:tcW w:type="dxa" w:w="1661"/>
          </w:tcPr>
          <w:p>
            <w:pPr>
              <w:pStyle w:val="null3"/>
            </w:pPr>
            <w:r>
              <w:rPr>
                <w:rFonts w:ascii="仿宋_GB2312" w:hAnsi="仿宋_GB2312" w:cs="仿宋_GB2312" w:eastAsia="仿宋_GB2312"/>
              </w:rPr>
              <w:t>响应文件封面 已标价工程量清单 1报价表.docx 报价函 标的清单</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无其他磋商文件或法规明确规定投标无效的事项</w:t>
            </w:r>
          </w:p>
        </w:tc>
        <w:tc>
          <w:tcPr>
            <w:tcW w:type="dxa" w:w="3322"/>
          </w:tcPr>
          <w:p>
            <w:pPr>
              <w:pStyle w:val="null3"/>
            </w:pPr>
            <w:r>
              <w:rPr>
                <w:rFonts w:ascii="仿宋_GB2312" w:hAnsi="仿宋_GB2312" w:cs="仿宋_GB2312" w:eastAsia="仿宋_GB2312"/>
              </w:rPr>
              <w:t>没有不符合磋商文件规定的被视为无效投标的其他条款。</w:t>
            </w:r>
          </w:p>
        </w:tc>
        <w:tc>
          <w:tcPr>
            <w:tcW w:type="dxa" w:w="1661"/>
          </w:tcPr>
          <w:p>
            <w:pPr>
              <w:pStyle w:val="null3"/>
            </w:pPr>
            <w:r>
              <w:rPr>
                <w:rFonts w:ascii="仿宋_GB2312" w:hAnsi="仿宋_GB2312" w:cs="仿宋_GB2312" w:eastAsia="仿宋_GB2312"/>
              </w:rPr>
              <w:t>4投标方案.docx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合同条款响应</w:t>
            </w:r>
          </w:p>
        </w:tc>
        <w:tc>
          <w:tcPr>
            <w:tcW w:type="dxa" w:w="3322"/>
          </w:tcPr>
          <w:p>
            <w:pPr>
              <w:pStyle w:val="null3"/>
            </w:pPr>
            <w:r>
              <w:rPr>
                <w:rFonts w:ascii="仿宋_GB2312" w:hAnsi="仿宋_GB2312" w:cs="仿宋_GB2312" w:eastAsia="仿宋_GB2312"/>
              </w:rPr>
              <w:t>有完全理解并接受磋商文件合同基本条款要求的描述。</w:t>
            </w:r>
          </w:p>
        </w:tc>
        <w:tc>
          <w:tcPr>
            <w:tcW w:type="dxa" w:w="1661"/>
          </w:tcPr>
          <w:p>
            <w:pPr>
              <w:pStyle w:val="null3"/>
            </w:pPr>
            <w:r>
              <w:rPr>
                <w:rFonts w:ascii="仿宋_GB2312" w:hAnsi="仿宋_GB2312" w:cs="仿宋_GB2312" w:eastAsia="仿宋_GB2312"/>
              </w:rPr>
              <w:t>3响应偏差表及商务响应说明.docx</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由磋商小组采用综合评分法对提交最后报价的供应商的响应文件和最后报价进行综合评分，具体要求详见本章评审办法及标准部分。</w:t>
      </w:r>
    </w:p>
    <w:p>
      <w:pPr>
        <w:pStyle w:val="null3"/>
        <w:outlineLvl w:val="3"/>
      </w:pPr>
      <w:r>
        <w:rPr>
          <w:rFonts w:ascii="仿宋_GB2312" w:hAnsi="仿宋_GB2312" w:cs="仿宋_GB2312" w:eastAsia="仿宋_GB2312"/>
          <w:sz w:val="24"/>
          <w:b/>
        </w:rPr>
        <w:t xml:space="preserve"> 6.3.7推荐成交候选供应商</w:t>
      </w:r>
    </w:p>
    <w:p>
      <w:pPr>
        <w:pStyle w:val="null3"/>
        <w:ind w:firstLine="480"/>
      </w:pPr>
      <w:r>
        <w:rPr>
          <w:rFonts w:ascii="仿宋_GB2312" w:hAnsi="仿宋_GB2312" w:cs="仿宋_GB2312" w:eastAsia="仿宋_GB2312"/>
        </w:rPr>
        <w:t>磋商小组应当根据综合评分情况，按照评审得分由高到低顺序推荐如下家数的成交候选供应商，并编写磋商报告。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6.3.8磋商小组复核</w:t>
      </w:r>
    </w:p>
    <w:p>
      <w:pPr>
        <w:pStyle w:val="null3"/>
        <w:ind w:firstLine="480"/>
      </w:pPr>
      <w:r>
        <w:rPr>
          <w:rFonts w:ascii="仿宋_GB2312" w:hAnsi="仿宋_GB2312" w:cs="仿宋_GB2312" w:eastAsia="仿宋_GB2312"/>
        </w:rPr>
        <w:t xml:space="preserve"> 磋商小组评分汇总结束后，磋商小组应当进行评审复核，对拟推荐为成交候选供应商的、报价最低的、供应商响应文件作无效处理的重点复核。</w:t>
      </w:r>
    </w:p>
    <w:p>
      <w:pPr>
        <w:pStyle w:val="null3"/>
        <w:outlineLvl w:val="3"/>
      </w:pPr>
      <w:r>
        <w:rPr>
          <w:rFonts w:ascii="仿宋_GB2312" w:hAnsi="仿宋_GB2312" w:cs="仿宋_GB2312" w:eastAsia="仿宋_GB2312"/>
          <w:sz w:val="24"/>
          <w:b/>
        </w:rPr>
        <w:t>6.3.9代理机构现场复核评审结果</w:t>
      </w:r>
    </w:p>
    <w:p>
      <w:pPr>
        <w:pStyle w:val="null3"/>
        <w:ind w:firstLine="480"/>
      </w:pPr>
      <w:r>
        <w:rPr>
          <w:rFonts w:ascii="仿宋_GB2312" w:hAnsi="仿宋_GB2312" w:cs="仿宋_GB2312" w:eastAsia="仿宋_GB2312"/>
        </w:rPr>
        <w:t xml:space="preserve"> 一、评审结果汇总完成后，磋商小组拟出具磋商磋商报告前，代理机构应当组织2名以上的本单位工作人员，在采购现场监督人员的监督之下，依据有关的法律制度和磋商文件对评审结果进行复核，出具复核报告，存在下列情形之一的，代理机构应当根据情况通过项目电子化交易系统建议磋商小组现场修改评审结果。存在本条上述情形的，由磋商小组自主决定是否采纳代理机构的建议，并承担独立评审责任。</w:t>
      </w:r>
    </w:p>
    <w:p>
      <w:pPr>
        <w:pStyle w:val="null3"/>
        <w:ind w:firstLine="480"/>
      </w:pPr>
      <w:r>
        <w:rPr>
          <w:rFonts w:ascii="仿宋_GB2312" w:hAnsi="仿宋_GB2312" w:cs="仿宋_GB2312" w:eastAsia="仿宋_GB2312"/>
        </w:rPr>
        <w:t xml:space="preserve"> 二、磋商小组采纳代理机构建议的，应当按照规定现场通过项目电子化交易系统修改评审结果或者重新评审，并在磋商报告中详细记载有关事宜；不采纳代理机构建议的，应当说明理由。代理机构建议未被磋商小组采纳的，应当按照规定程序要求继续组织实施采购活动，不得擅自中止采购活动。代理机构认为磋商小组评审结果不合法的，应当书面报告采购项目同级财政部门。</w:t>
      </w:r>
    </w:p>
    <w:p>
      <w:pPr>
        <w:pStyle w:val="null3"/>
        <w:ind w:firstLine="480"/>
      </w:pPr>
      <w:r>
        <w:rPr>
          <w:rFonts w:ascii="仿宋_GB2312" w:hAnsi="仿宋_GB2312" w:cs="仿宋_GB2312" w:eastAsia="仿宋_GB2312"/>
        </w:rPr>
        <w:t>三、代理机构复核过程中，磋商小组成员不得离开评审现场。</w:t>
      </w:r>
    </w:p>
    <w:p>
      <w:pPr>
        <w:pStyle w:val="null3"/>
        <w:outlineLvl w:val="3"/>
      </w:pPr>
      <w:r>
        <w:rPr>
          <w:rFonts w:ascii="仿宋_GB2312" w:hAnsi="仿宋_GB2312" w:cs="仿宋_GB2312" w:eastAsia="仿宋_GB2312"/>
          <w:sz w:val="24"/>
          <w:b/>
        </w:rPr>
        <w:t>6.3.10编写磋商报告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6.3.11评审争议处理规则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6.3.12终止磋商采购活动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详细评审80.00分</w:t>
            </w:r>
          </w:p>
          <w:p>
            <w:pPr>
              <w:pStyle w:val="null3"/>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施工方案</w:t>
            </w:r>
          </w:p>
        </w:tc>
        <w:tc>
          <w:tcPr>
            <w:tcW w:type="dxa" w:w="2492"/>
          </w:tcPr>
          <w:p>
            <w:pPr>
              <w:pStyle w:val="null3"/>
            </w:pPr>
            <w:r>
              <w:rPr>
                <w:rFonts w:ascii="仿宋_GB2312" w:hAnsi="仿宋_GB2312" w:cs="仿宋_GB2312" w:eastAsia="仿宋_GB2312"/>
              </w:rPr>
              <w:t>施工方案： （1）施工方案详细、各部分措施具体，可行性强，得8分； （2）施工方案较为详细、各部分措施较为具体，有一定可行性，得5分； （3）施工方案较为简单、各部分措施较为简单，可行性一般，得3分。 （4）施工方案简陋、仅有基本的描述，可行性差，得1分。 注：未提供不得分。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4投标方案.docx</w:t>
            </w:r>
          </w:p>
        </w:tc>
      </w:tr>
      <w:tr>
        <w:tc>
          <w:tcPr>
            <w:tcW w:type="dxa" w:w="831"/>
            <w:vMerge/>
          </w:tcPr>
          <w:p/>
        </w:tc>
        <w:tc>
          <w:tcPr>
            <w:tcW w:type="dxa" w:w="1661"/>
          </w:tcPr>
          <w:p>
            <w:pPr>
              <w:pStyle w:val="null3"/>
            </w:pPr>
            <w:r>
              <w:rPr>
                <w:rFonts w:ascii="仿宋_GB2312" w:hAnsi="仿宋_GB2312" w:cs="仿宋_GB2312" w:eastAsia="仿宋_GB2312"/>
              </w:rPr>
              <w:t>工程质量保证措施</w:t>
            </w:r>
          </w:p>
        </w:tc>
        <w:tc>
          <w:tcPr>
            <w:tcW w:type="dxa" w:w="2492"/>
          </w:tcPr>
          <w:p>
            <w:pPr>
              <w:pStyle w:val="null3"/>
            </w:pPr>
            <w:r>
              <w:rPr>
                <w:rFonts w:ascii="仿宋_GB2312" w:hAnsi="仿宋_GB2312" w:cs="仿宋_GB2312" w:eastAsia="仿宋_GB2312"/>
              </w:rPr>
              <w:t>工程质量保证措施： （1）工程质量保证措施详细、完整、可行性强，得3分； （2）质量保证措施较为详细、基本完整、有一定可行性，得2分； （3）工程质量保证措施简陋、仅有基本的描述，可行性差，得1分。 注：未提供不得分。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4投标方案.docx</w:t>
            </w:r>
          </w:p>
        </w:tc>
      </w:tr>
      <w:tr>
        <w:tc>
          <w:tcPr>
            <w:tcW w:type="dxa" w:w="831"/>
            <w:vMerge/>
          </w:tcPr>
          <w:p/>
        </w:tc>
        <w:tc>
          <w:tcPr>
            <w:tcW w:type="dxa" w:w="1661"/>
          </w:tcPr>
          <w:p>
            <w:pPr>
              <w:pStyle w:val="null3"/>
            </w:pPr>
            <w:r>
              <w:rPr>
                <w:rFonts w:ascii="仿宋_GB2312" w:hAnsi="仿宋_GB2312" w:cs="仿宋_GB2312" w:eastAsia="仿宋_GB2312"/>
              </w:rPr>
              <w:t>安全施工组织措施</w:t>
            </w:r>
          </w:p>
        </w:tc>
        <w:tc>
          <w:tcPr>
            <w:tcW w:type="dxa" w:w="2492"/>
          </w:tcPr>
          <w:p>
            <w:pPr>
              <w:pStyle w:val="null3"/>
            </w:pPr>
            <w:r>
              <w:rPr>
                <w:rFonts w:ascii="仿宋_GB2312" w:hAnsi="仿宋_GB2312" w:cs="仿宋_GB2312" w:eastAsia="仿宋_GB2312"/>
              </w:rPr>
              <w:t>安全施工组织措施： （1）安全施工组织措施详细、完整、可行性强，得3分； （2）安全施工组织措施较为详细、基本完整、有一定可行性，得2分； （3）安全施工组织措施简陋、仅有基本的描述，可行性差，得1分。 注：未提供不得分。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4投标方案.docx</w:t>
            </w:r>
          </w:p>
        </w:tc>
      </w:tr>
      <w:tr>
        <w:tc>
          <w:tcPr>
            <w:tcW w:type="dxa" w:w="831"/>
            <w:vMerge/>
          </w:tcPr>
          <w:p/>
        </w:tc>
        <w:tc>
          <w:tcPr>
            <w:tcW w:type="dxa" w:w="1661"/>
          </w:tcPr>
          <w:p>
            <w:pPr>
              <w:pStyle w:val="null3"/>
            </w:pPr>
            <w:r>
              <w:rPr>
                <w:rFonts w:ascii="仿宋_GB2312" w:hAnsi="仿宋_GB2312" w:cs="仿宋_GB2312" w:eastAsia="仿宋_GB2312"/>
              </w:rPr>
              <w:t>文明施工措施</w:t>
            </w:r>
          </w:p>
        </w:tc>
        <w:tc>
          <w:tcPr>
            <w:tcW w:type="dxa" w:w="2492"/>
          </w:tcPr>
          <w:p>
            <w:pPr>
              <w:pStyle w:val="null3"/>
            </w:pPr>
            <w:r>
              <w:rPr>
                <w:rFonts w:ascii="仿宋_GB2312" w:hAnsi="仿宋_GB2312" w:cs="仿宋_GB2312" w:eastAsia="仿宋_GB2312"/>
              </w:rPr>
              <w:t>文明施工措施： （1）文明施工措施详细、完整、可行性强，得3分； （2）文明施工措施较为详细、基本完整、有一定可行性，得2分； （3）文明施工措施简陋、仅有基本的描述，可行性差，得1分。 注：未提供不得分。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4投标方案.docx</w:t>
            </w:r>
          </w:p>
        </w:tc>
      </w:tr>
      <w:tr>
        <w:tc>
          <w:tcPr>
            <w:tcW w:type="dxa" w:w="831"/>
            <w:vMerge/>
          </w:tcPr>
          <w:p/>
        </w:tc>
        <w:tc>
          <w:tcPr>
            <w:tcW w:type="dxa" w:w="1661"/>
          </w:tcPr>
          <w:p>
            <w:pPr>
              <w:pStyle w:val="null3"/>
            </w:pPr>
            <w:r>
              <w:rPr>
                <w:rFonts w:ascii="仿宋_GB2312" w:hAnsi="仿宋_GB2312" w:cs="仿宋_GB2312" w:eastAsia="仿宋_GB2312"/>
              </w:rPr>
              <w:t>拟派施工项目部</w:t>
            </w:r>
          </w:p>
        </w:tc>
        <w:tc>
          <w:tcPr>
            <w:tcW w:type="dxa" w:w="2492"/>
          </w:tcPr>
          <w:p>
            <w:pPr>
              <w:pStyle w:val="null3"/>
            </w:pPr>
            <w:r>
              <w:rPr>
                <w:rFonts w:ascii="仿宋_GB2312" w:hAnsi="仿宋_GB2312" w:cs="仿宋_GB2312" w:eastAsia="仿宋_GB2312"/>
              </w:rPr>
              <w:t>拟派施工项目部： （1）施工项目部组织架构清晰，分工明确，责任清晰，专业作业队配置齐全、详细得5分； （2）施工项目部组织架构基本清晰，分工较为明确，责任相对清晰，专业作业队配置较为齐全得3分； （3）内容简陋、仅有基本的描述，不能满足项目需要得1分。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4投标方案.docx</w:t>
            </w:r>
          </w:p>
        </w:tc>
      </w:tr>
      <w:tr>
        <w:tc>
          <w:tcPr>
            <w:tcW w:type="dxa" w:w="831"/>
            <w:vMerge/>
          </w:tcPr>
          <w:p/>
        </w:tc>
        <w:tc>
          <w:tcPr>
            <w:tcW w:type="dxa" w:w="1661"/>
          </w:tcPr>
          <w:p>
            <w:pPr>
              <w:pStyle w:val="null3"/>
            </w:pPr>
            <w:r>
              <w:rPr>
                <w:rFonts w:ascii="仿宋_GB2312" w:hAnsi="仿宋_GB2312" w:cs="仿宋_GB2312" w:eastAsia="仿宋_GB2312"/>
              </w:rPr>
              <w:t>施工机械设备配备计划</w:t>
            </w:r>
          </w:p>
        </w:tc>
        <w:tc>
          <w:tcPr>
            <w:tcW w:type="dxa" w:w="2492"/>
          </w:tcPr>
          <w:p>
            <w:pPr>
              <w:pStyle w:val="null3"/>
            </w:pPr>
            <w:r>
              <w:rPr>
                <w:rFonts w:ascii="仿宋_GB2312" w:hAnsi="仿宋_GB2312" w:cs="仿宋_GB2312" w:eastAsia="仿宋_GB2312"/>
              </w:rPr>
              <w:t>施工机械设备配备计划： （1）主要机械设备配备齐全、合理，完全满足项目实施需要得5分； （2）主要机械设备配备相对齐全、合理，基本满足项目实施需要得3分； （3）内容简陋、仅有基本的描述，不能满足项目需要得1分。 注：未提供不得分。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4投标方案.docx</w:t>
            </w:r>
          </w:p>
        </w:tc>
      </w:tr>
      <w:tr>
        <w:tc>
          <w:tcPr>
            <w:tcW w:type="dxa" w:w="831"/>
            <w:vMerge/>
          </w:tcPr>
          <w:p/>
        </w:tc>
        <w:tc>
          <w:tcPr>
            <w:tcW w:type="dxa" w:w="1661"/>
          </w:tcPr>
          <w:p>
            <w:pPr>
              <w:pStyle w:val="null3"/>
            </w:pPr>
            <w:r>
              <w:rPr>
                <w:rFonts w:ascii="仿宋_GB2312" w:hAnsi="仿宋_GB2312" w:cs="仿宋_GB2312" w:eastAsia="仿宋_GB2312"/>
              </w:rPr>
              <w:t>劳动力安排计划</w:t>
            </w:r>
          </w:p>
        </w:tc>
        <w:tc>
          <w:tcPr>
            <w:tcW w:type="dxa" w:w="2492"/>
          </w:tcPr>
          <w:p>
            <w:pPr>
              <w:pStyle w:val="null3"/>
            </w:pPr>
            <w:r>
              <w:rPr>
                <w:rFonts w:ascii="仿宋_GB2312" w:hAnsi="仿宋_GB2312" w:cs="仿宋_GB2312" w:eastAsia="仿宋_GB2312"/>
              </w:rPr>
              <w:t>劳动力安排计划： （1）劳动力安排详细、合理，完全满足项目实施需要得3分； （2）劳动力安排较为详细、合理，基本满足项目实施需要得2分； （3）内容简陋、仅有基本的描述，不能满足项目需要得1分。 注：未提供不得分。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4投标方案.docx</w:t>
            </w:r>
          </w:p>
        </w:tc>
      </w:tr>
      <w:tr>
        <w:tc>
          <w:tcPr>
            <w:tcW w:type="dxa" w:w="831"/>
            <w:vMerge/>
          </w:tcPr>
          <w:p/>
        </w:tc>
        <w:tc>
          <w:tcPr>
            <w:tcW w:type="dxa" w:w="1661"/>
          </w:tcPr>
          <w:p>
            <w:pPr>
              <w:pStyle w:val="null3"/>
            </w:pPr>
            <w:r>
              <w:rPr>
                <w:rFonts w:ascii="仿宋_GB2312" w:hAnsi="仿宋_GB2312" w:cs="仿宋_GB2312" w:eastAsia="仿宋_GB2312"/>
              </w:rPr>
              <w:t>工程进度计划及措施</w:t>
            </w:r>
          </w:p>
        </w:tc>
        <w:tc>
          <w:tcPr>
            <w:tcW w:type="dxa" w:w="2492"/>
          </w:tcPr>
          <w:p>
            <w:pPr>
              <w:pStyle w:val="null3"/>
            </w:pPr>
            <w:r>
              <w:rPr>
                <w:rFonts w:ascii="仿宋_GB2312" w:hAnsi="仿宋_GB2312" w:cs="仿宋_GB2312" w:eastAsia="仿宋_GB2312"/>
              </w:rPr>
              <w:t>工程进度计划及措施： （1）工期满足采购要求，提供工程进度表或施工网络图以及详细的措施，工期控制连贯、清晰、合理、规范，得3分； （2）工期满足采购要求，提供工程进度表或施工网络图以及基本的措施，工期控制较为连贯、清晰、合理、规范，得2分； （3）工期满足采购要求，但未提供工程进度表或施工网络图以及措施，工期控制不连贯、不清晰、不合理、不规范，得1分。 注：未提供不得分。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4投标方案.docx</w:t>
            </w:r>
          </w:p>
        </w:tc>
      </w:tr>
      <w:tr>
        <w:tc>
          <w:tcPr>
            <w:tcW w:type="dxa" w:w="831"/>
            <w:vMerge/>
          </w:tcPr>
          <w:p/>
        </w:tc>
        <w:tc>
          <w:tcPr>
            <w:tcW w:type="dxa" w:w="1661"/>
          </w:tcPr>
          <w:p>
            <w:pPr>
              <w:pStyle w:val="null3"/>
            </w:pPr>
            <w:r>
              <w:rPr>
                <w:rFonts w:ascii="仿宋_GB2312" w:hAnsi="仿宋_GB2312" w:cs="仿宋_GB2312" w:eastAsia="仿宋_GB2312"/>
              </w:rPr>
              <w:t>改造升级施工技术措施</w:t>
            </w:r>
          </w:p>
        </w:tc>
        <w:tc>
          <w:tcPr>
            <w:tcW w:type="dxa" w:w="2492"/>
          </w:tcPr>
          <w:p>
            <w:pPr>
              <w:pStyle w:val="null3"/>
            </w:pPr>
            <w:r>
              <w:rPr>
                <w:rFonts w:ascii="仿宋_GB2312" w:hAnsi="仿宋_GB2312" w:cs="仿宋_GB2312" w:eastAsia="仿宋_GB2312"/>
              </w:rPr>
              <w:t>供应商应根据自身实力、经验以及工程实际情况提供施工技术措施，不限于施工前准备、细部节点处理、质量控制、常见问题预防。 （1）内容完整、详细、措施具体、能有效满足老图书馆改造升级需要得6分； （2）内容相对完整、较为详细、措施相对具体、基本能满足老图书馆改造升级需要得4分； （3）内容、措施简陋，无法保证满足老图书馆改造升级需要得2分； 注：未提供不得分。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4投标方案.docx</w:t>
            </w:r>
          </w:p>
        </w:tc>
      </w:tr>
      <w:tr>
        <w:tc>
          <w:tcPr>
            <w:tcW w:type="dxa" w:w="831"/>
            <w:vMerge/>
          </w:tcPr>
          <w:p/>
        </w:tc>
        <w:tc>
          <w:tcPr>
            <w:tcW w:type="dxa" w:w="1661"/>
          </w:tcPr>
          <w:p>
            <w:pPr>
              <w:pStyle w:val="null3"/>
            </w:pPr>
            <w:r>
              <w:rPr>
                <w:rFonts w:ascii="仿宋_GB2312" w:hAnsi="仿宋_GB2312" w:cs="仿宋_GB2312" w:eastAsia="仿宋_GB2312"/>
              </w:rPr>
              <w:t>主要材料选型</w:t>
            </w:r>
          </w:p>
        </w:tc>
        <w:tc>
          <w:tcPr>
            <w:tcW w:type="dxa" w:w="2492"/>
          </w:tcPr>
          <w:p>
            <w:pPr>
              <w:pStyle w:val="null3"/>
            </w:pPr>
            <w:r>
              <w:rPr>
                <w:rFonts w:ascii="仿宋_GB2312" w:hAnsi="仿宋_GB2312" w:cs="仿宋_GB2312" w:eastAsia="仿宋_GB2312"/>
              </w:rPr>
              <w:t>供应商需提供主要材料清单及主要材料选型说明。 1、主要材料清单 （1）主要材料清单品目完整，品牌明确得6分； （2）主要材料清单品目基本完整，品牌不明确得4分； （3）主要材料清单简陋得2分。 2、提供主要材料选型说明 （1）选型说明详细，产品符合项目特征，资料齐全得5分； （2）有基本的选型说明，产品基本符合项目特征，资料齐全得3分； （3）选型说明简陋，产品不完全符合项目特征得1分； 注：未提供不得分。 3、主要材料来源及质量保证措施 （1）主要材料来源清晰，质量保证措施详细、完整，能有效保证主要材料质量得5分； （2）主要材料来源基本清晰，质量保证措施较为详细、完整，基本能保证主要材料质量得3分； （3）主要材料来源模糊，质量保证措施简陋，无法保证主要材料质量得1分； 注：未提供不得分。 4、拟投入的主要材料，具有环境标志认证证书的，每个产品得1分，最高2分。</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强制优先采购产品承诺函</w:t>
            </w:r>
          </w:p>
          <w:p>
            <w:pPr>
              <w:pStyle w:val="null3"/>
            </w:pPr>
            <w:r>
              <w:rPr>
                <w:rFonts w:ascii="仿宋_GB2312" w:hAnsi="仿宋_GB2312" w:cs="仿宋_GB2312" w:eastAsia="仿宋_GB2312"/>
              </w:rPr>
              <w:t>4投标方案.docx</w:t>
            </w:r>
          </w:p>
        </w:tc>
      </w:tr>
      <w:tr>
        <w:tc>
          <w:tcPr>
            <w:tcW w:type="dxa" w:w="831"/>
            <w:vMerge/>
          </w:tcPr>
          <w:p/>
        </w:tc>
        <w:tc>
          <w:tcPr>
            <w:tcW w:type="dxa" w:w="1661"/>
          </w:tcPr>
          <w:p>
            <w:pPr>
              <w:pStyle w:val="null3"/>
            </w:pPr>
            <w:r>
              <w:rPr>
                <w:rFonts w:ascii="仿宋_GB2312" w:hAnsi="仿宋_GB2312" w:cs="仿宋_GB2312" w:eastAsia="仿宋_GB2312"/>
              </w:rPr>
              <w:t>项目经理</w:t>
            </w:r>
          </w:p>
        </w:tc>
        <w:tc>
          <w:tcPr>
            <w:tcW w:type="dxa" w:w="2492"/>
          </w:tcPr>
          <w:p>
            <w:pPr>
              <w:pStyle w:val="null3"/>
            </w:pPr>
            <w:r>
              <w:rPr>
                <w:rFonts w:ascii="仿宋_GB2312" w:hAnsi="仿宋_GB2312" w:cs="仿宋_GB2312" w:eastAsia="仿宋_GB2312"/>
              </w:rPr>
              <w:t>1、项目经理具有工程类高级及以上职称的得3分，中级职称的得1分，其他的不得分。注：需提供身份证、职称证。 2、项目经理具有类似项目经验，每提供1份2023年1月1日至今业绩得1分，最高3分。注：需提供合同或验收报告或中标公告截图，且合同或验收报告或中标公告截图中能显示项目经理的名字。</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4投标方案.docx</w:t>
            </w:r>
          </w:p>
        </w:tc>
      </w:tr>
      <w:tr>
        <w:tc>
          <w:tcPr>
            <w:tcW w:type="dxa" w:w="831"/>
            <w:vMerge/>
          </w:tcPr>
          <w:p/>
        </w:tc>
        <w:tc>
          <w:tcPr>
            <w:tcW w:type="dxa" w:w="1661"/>
          </w:tcPr>
          <w:p>
            <w:pPr>
              <w:pStyle w:val="null3"/>
            </w:pPr>
            <w:r>
              <w:rPr>
                <w:rFonts w:ascii="仿宋_GB2312" w:hAnsi="仿宋_GB2312" w:cs="仿宋_GB2312" w:eastAsia="仿宋_GB2312"/>
              </w:rPr>
              <w:t>质保期</w:t>
            </w:r>
          </w:p>
        </w:tc>
        <w:tc>
          <w:tcPr>
            <w:tcW w:type="dxa" w:w="2492"/>
          </w:tcPr>
          <w:p>
            <w:pPr>
              <w:pStyle w:val="null3"/>
            </w:pPr>
            <w:r>
              <w:rPr>
                <w:rFonts w:ascii="仿宋_GB2312" w:hAnsi="仿宋_GB2312" w:cs="仿宋_GB2312" w:eastAsia="仿宋_GB2312"/>
              </w:rPr>
              <w:t>在基础整体质保（2年）的基础上，每增加1年得1分，最高4分。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维保方案</w:t>
            </w:r>
          </w:p>
        </w:tc>
        <w:tc>
          <w:tcPr>
            <w:tcW w:type="dxa" w:w="2492"/>
          </w:tcPr>
          <w:p>
            <w:pPr>
              <w:pStyle w:val="null3"/>
            </w:pPr>
            <w:r>
              <w:rPr>
                <w:rFonts w:ascii="仿宋_GB2312" w:hAnsi="仿宋_GB2312" w:cs="仿宋_GB2312" w:eastAsia="仿宋_GB2312"/>
              </w:rPr>
              <w:t>供应商需根据自身实力和项目特点提供针对性的维保方案。 1、提供详细的维保人员名单，联系电话，并提供7X24小时服务响应的书面承诺得2分。（承诺书格式自拟） 2、维保方案（包括但不限于维保内容、维保方式、巡检等） （1）方案内容详细，措施具体，可行性强得3分； （2）方案内容较为详细，措施相对具体，有一定的可行性得2分； （3）方案内容简陋，缺乏措施，可行性差得1分； 注：未提供不得分。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4投标方案.docx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提供2023年1月1日至今(以合同签订日期为准)类似项目业绩，以合同扫描件加盖公章为准。每提供1份得2分，最多8分，未提供得0分。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磋价格分统一采用低价优先法计算，即满足磋商文件要求且最后磋商报价最低的供应商的价格为磋商基准价，其价格分为满分。其他供应商的价格分统一按照下列公式计算： 磋商报价得分=(磋商基准价／最后磋商报价)×价格分值 计算分数时四舍五入取小数点后两位。</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详见附件：强制优先采购产品承诺函</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详见附件：1报价表.docx</w:t>
      </w:r>
    </w:p>
    <w:p>
      <w:pPr>
        <w:pStyle w:val="null3"/>
        <w:ind w:firstLine="960"/>
      </w:pPr>
      <w:r>
        <w:rPr>
          <w:rFonts w:ascii="仿宋_GB2312" w:hAnsi="仿宋_GB2312" w:cs="仿宋_GB2312" w:eastAsia="仿宋_GB2312"/>
        </w:rPr>
        <w:t>详见附件：2投标人资格证明文件.docx</w:t>
      </w:r>
    </w:p>
    <w:p>
      <w:pPr>
        <w:pStyle w:val="null3"/>
        <w:ind w:firstLine="960"/>
      </w:pPr>
      <w:r>
        <w:rPr>
          <w:rFonts w:ascii="仿宋_GB2312" w:hAnsi="仿宋_GB2312" w:cs="仿宋_GB2312" w:eastAsia="仿宋_GB2312"/>
        </w:rPr>
        <w:t>详见附件：3响应偏差表及商务响应说明.docx</w:t>
      </w:r>
    </w:p>
    <w:p>
      <w:pPr>
        <w:pStyle w:val="null3"/>
        <w:ind w:firstLine="960"/>
      </w:pPr>
      <w:r>
        <w:rPr>
          <w:rFonts w:ascii="仿宋_GB2312" w:hAnsi="仿宋_GB2312" w:cs="仿宋_GB2312" w:eastAsia="仿宋_GB2312"/>
        </w:rPr>
        <w:t>详见附件：4投标方案.docx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详见附件：拟签订采购合同文本.docx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