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版本号：【KRDL】K5-2509126-0220260417001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水同位素分析仪(二次)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【KRDL】K5-2509126-02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水同位素分析仪(二次)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【KRDL】K5-2509126-02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水同位素分析仪(二次)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水同位素分析仪1套，以供采购人能够用于在重要流域生态系统过程研究中快速、大量、精确获取降水、溪流水、土壤水、地下水、叶片水、植物茎干水的稳定性同位素δ18O和δD值，为深入研究流域生态系统的水分循环、水汽传输、水分平衡、水分利用及生态系统应对气候变化的响应机制提供精确、有效的科学数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采购包1（水同位素分析仪）：属于专门面向中小企业采购。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6、授权委托书：投标人应授权合法的人员参加本项目招标活动全过程；</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开户名称：招商银行股份有限公司西安分行营业部</w:t>
            </w:r>
          </w:p>
          <w:p>
            <w:pPr>
              <w:pStyle w:val="null3"/>
            </w:pPr>
            <w:r>
              <w:rPr>
                <w:rFonts w:ascii="仿宋_GB2312" w:hAnsi="仿宋_GB2312" w:cs="仿宋_GB2312" w:eastAsia="仿宋_GB2312"/>
              </w:rPr>
              <w:t>开户银行：开瑞项目管理有限公司</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和国家发展和改革委员会办公厅颁发的《关于招标代理服务收费有关问题的通知》（发改办价格[2003] 857号）的标准的70%计取，向采购代理机构一次付清招标代理服务费。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联系人：王森、于珂欣</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水同位素分析仪1套，以供采购人能够用于在重要流域生态系统过程研究中快速、大量、精确获取降水、溪流水、土壤水、地下水、叶片水、植物茎干水的稳定性同位素δ18O和δD值，为深入研究流域生态系统的水分循环、水汽传输、水分平衡、水分利用及生态系统应对气候变化的响应机制提供精确、有效的科学数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水同位素分析仪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标的名称：水同位素分析仪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一、技术参数：</w:t>
            </w:r>
          </w:p>
          <w:p>
            <w:pPr>
              <w:pStyle w:val="null3"/>
            </w:pPr>
            <w:r>
              <w:rPr>
                <w:rFonts w:ascii="仿宋_GB2312" w:hAnsi="仿宋_GB2312" w:cs="仿宋_GB2312" w:eastAsia="仿宋_GB2312"/>
              </w:rPr>
              <w:t>1.分析仪主机</w:t>
            </w:r>
          </w:p>
          <w:p>
            <w:pPr>
              <w:pStyle w:val="null3"/>
            </w:pPr>
            <w:r>
              <w:rPr>
                <w:rFonts w:ascii="仿宋_GB2312" w:hAnsi="仿宋_GB2312" w:cs="仿宋_GB2312" w:eastAsia="仿宋_GB2312"/>
              </w:rPr>
              <w:t>1.1 系统含激光波长监测器，具备自动校正激光光谱功能。</w:t>
            </w:r>
          </w:p>
          <w:p>
            <w:pPr>
              <w:pStyle w:val="null3"/>
            </w:pPr>
            <w:r>
              <w:rPr>
                <w:rFonts w:ascii="仿宋_GB2312" w:hAnsi="仿宋_GB2312" w:cs="仿宋_GB2312" w:eastAsia="仿宋_GB2312"/>
              </w:rPr>
              <w:t>1.2 检测室镜面反射率：≥99.999%，提供原理说明。</w:t>
            </w:r>
          </w:p>
          <w:p>
            <w:pPr>
              <w:pStyle w:val="null3"/>
            </w:pPr>
            <w:r>
              <w:rPr>
                <w:rFonts w:ascii="仿宋_GB2312" w:hAnsi="仿宋_GB2312" w:cs="仿宋_GB2312" w:eastAsia="仿宋_GB2312"/>
              </w:rPr>
              <w:t>1.3 可实现测量水的δD和δ</w:t>
            </w:r>
            <w:r>
              <w:rPr>
                <w:rFonts w:ascii="仿宋_GB2312" w:hAnsi="仿宋_GB2312" w:cs="仿宋_GB2312" w:eastAsia="仿宋_GB2312"/>
                <w:vertAlign w:val="superscript"/>
              </w:rPr>
              <w:t>18</w:t>
            </w:r>
            <w:r>
              <w:rPr>
                <w:rFonts w:ascii="仿宋_GB2312" w:hAnsi="仿宋_GB2312" w:cs="仿宋_GB2312" w:eastAsia="仿宋_GB2312"/>
              </w:rPr>
              <w:t>O。兼具液态水与气态水测量，可在实验室和野外在线监测。</w:t>
            </w:r>
          </w:p>
          <w:p>
            <w:pPr>
              <w:pStyle w:val="null3"/>
            </w:pPr>
            <w:r>
              <w:rPr>
                <w:rFonts w:ascii="仿宋_GB2312" w:hAnsi="仿宋_GB2312" w:cs="仿宋_GB2312" w:eastAsia="仿宋_GB2312"/>
              </w:rPr>
              <w:t>1.4 液态水模式下：</w:t>
            </w:r>
          </w:p>
          <w:p>
            <w:pPr>
              <w:pStyle w:val="null3"/>
            </w:pPr>
            <w:r>
              <w:rPr>
                <w:rFonts w:ascii="仿宋_GB2312" w:hAnsi="仿宋_GB2312" w:cs="仿宋_GB2312" w:eastAsia="仿宋_GB2312"/>
              </w:rPr>
              <w:t>★1.4.1 精度（1σ）：δ</w:t>
            </w:r>
            <w:r>
              <w:rPr>
                <w:rFonts w:ascii="仿宋_GB2312" w:hAnsi="仿宋_GB2312" w:cs="仿宋_GB2312" w:eastAsia="仿宋_GB2312"/>
                <w:vertAlign w:val="superscript"/>
              </w:rPr>
              <w:t>18</w:t>
            </w:r>
            <w:r>
              <w:rPr>
                <w:rFonts w:ascii="仿宋_GB2312" w:hAnsi="仿宋_GB2312" w:cs="仿宋_GB2312" w:eastAsia="仿宋_GB2312"/>
              </w:rPr>
              <w:t>O≤0.025‰；δD≤0.1‰；</w:t>
            </w:r>
          </w:p>
          <w:p>
            <w:pPr>
              <w:pStyle w:val="null3"/>
            </w:pPr>
            <w:r>
              <w:rPr>
                <w:rFonts w:ascii="仿宋_GB2312" w:hAnsi="仿宋_GB2312" w:cs="仿宋_GB2312" w:eastAsia="仿宋_GB2312"/>
              </w:rPr>
              <w:t>★1.4.2 24h 最大漂移：δ</w:t>
            </w:r>
            <w:r>
              <w:rPr>
                <w:rFonts w:ascii="仿宋_GB2312" w:hAnsi="仿宋_GB2312" w:cs="仿宋_GB2312" w:eastAsia="仿宋_GB2312"/>
                <w:vertAlign w:val="superscript"/>
              </w:rPr>
              <w:t>18</w:t>
            </w:r>
            <w:r>
              <w:rPr>
                <w:rFonts w:ascii="仿宋_GB2312" w:hAnsi="仿宋_GB2312" w:cs="仿宋_GB2312" w:eastAsia="仿宋_GB2312"/>
              </w:rPr>
              <w:t>O≤0.2‰；δD≤0.8‰；</w:t>
            </w:r>
          </w:p>
          <w:p>
            <w:pPr>
              <w:pStyle w:val="null3"/>
            </w:pPr>
            <w:r>
              <w:rPr>
                <w:rFonts w:ascii="仿宋_GB2312" w:hAnsi="仿宋_GB2312" w:cs="仿宋_GB2312" w:eastAsia="仿宋_GB2312"/>
              </w:rPr>
              <w:t>1.5 水汽模式下：</w:t>
            </w:r>
          </w:p>
          <w:p>
            <w:pPr>
              <w:pStyle w:val="null3"/>
            </w:pPr>
            <w:r>
              <w:rPr>
                <w:rFonts w:ascii="仿宋_GB2312" w:hAnsi="仿宋_GB2312" w:cs="仿宋_GB2312" w:eastAsia="仿宋_GB2312"/>
              </w:rPr>
              <w:t>1.5.1 测量范围：至少覆盖1000ppm～50000ppm。</w:t>
            </w:r>
          </w:p>
          <w:p>
            <w:pPr>
              <w:pStyle w:val="null3"/>
            </w:pPr>
            <w:r>
              <w:rPr>
                <w:rFonts w:ascii="仿宋_GB2312" w:hAnsi="仿宋_GB2312" w:cs="仿宋_GB2312" w:eastAsia="仿宋_GB2312"/>
              </w:rPr>
              <w:t>▲1.5.2 确保精度（1σ）：δ</w:t>
            </w:r>
            <w:r>
              <w:rPr>
                <w:rFonts w:ascii="仿宋_GB2312" w:hAnsi="仿宋_GB2312" w:cs="仿宋_GB2312" w:eastAsia="仿宋_GB2312"/>
                <w:vertAlign w:val="superscript"/>
              </w:rPr>
              <w:t>18</w:t>
            </w:r>
            <w:r>
              <w:rPr>
                <w:rFonts w:ascii="仿宋_GB2312" w:hAnsi="仿宋_GB2312" w:cs="仿宋_GB2312" w:eastAsia="仿宋_GB2312"/>
              </w:rPr>
              <w:t>O≤0.04 ‰/100s；δD≤0.1 ‰/100s；</w:t>
            </w:r>
          </w:p>
          <w:p>
            <w:pPr>
              <w:pStyle w:val="null3"/>
            </w:pPr>
            <w:r>
              <w:rPr>
                <w:rFonts w:ascii="仿宋_GB2312" w:hAnsi="仿宋_GB2312" w:cs="仿宋_GB2312" w:eastAsia="仿宋_GB2312"/>
              </w:rPr>
              <w:t>▲1.5.3 24h 最大漂移：δ</w:t>
            </w:r>
            <w:r>
              <w:rPr>
                <w:rFonts w:ascii="仿宋_GB2312" w:hAnsi="仿宋_GB2312" w:cs="仿宋_GB2312" w:eastAsia="仿宋_GB2312"/>
                <w:vertAlign w:val="superscript"/>
              </w:rPr>
              <w:t>18</w:t>
            </w:r>
            <w:r>
              <w:rPr>
                <w:rFonts w:ascii="仿宋_GB2312" w:hAnsi="仿宋_GB2312" w:cs="仿宋_GB2312" w:eastAsia="仿宋_GB2312"/>
              </w:rPr>
              <w:t>O≤0.2‰；δD≤0.8‰；</w:t>
            </w:r>
          </w:p>
          <w:p>
            <w:pPr>
              <w:pStyle w:val="null3"/>
            </w:pPr>
            <w:r>
              <w:rPr>
                <w:rFonts w:ascii="仿宋_GB2312" w:hAnsi="仿宋_GB2312" w:cs="仿宋_GB2312" w:eastAsia="仿宋_GB2312"/>
              </w:rPr>
              <w:t>1.6 光腔温度控制精度：±0.005 ℃</w:t>
            </w:r>
          </w:p>
          <w:p>
            <w:pPr>
              <w:pStyle w:val="null3"/>
            </w:pPr>
            <w:r>
              <w:rPr>
                <w:rFonts w:ascii="仿宋_GB2312" w:hAnsi="仿宋_GB2312" w:cs="仿宋_GB2312" w:eastAsia="仿宋_GB2312"/>
              </w:rPr>
              <w:t>1.7 光腔压力控制精度：±0.0002 atm</w:t>
            </w:r>
          </w:p>
          <w:p>
            <w:pPr>
              <w:pStyle w:val="null3"/>
            </w:pPr>
            <w:r>
              <w:rPr>
                <w:rFonts w:ascii="仿宋_GB2312" w:hAnsi="仿宋_GB2312" w:cs="仿宋_GB2312" w:eastAsia="仿宋_GB2312"/>
              </w:rPr>
              <w:t>2.全自动进样器</w:t>
            </w:r>
          </w:p>
          <w:p>
            <w:pPr>
              <w:pStyle w:val="null3"/>
            </w:pPr>
            <w:r>
              <w:rPr>
                <w:rFonts w:ascii="仿宋_GB2312" w:hAnsi="仿宋_GB2312" w:cs="仿宋_GB2312" w:eastAsia="仿宋_GB2312"/>
              </w:rPr>
              <w:t>2.1 样品盘孔位：≥100 位</w:t>
            </w:r>
          </w:p>
          <w:p>
            <w:pPr>
              <w:pStyle w:val="null3"/>
            </w:pPr>
            <w:r>
              <w:rPr>
                <w:rFonts w:ascii="仿宋_GB2312" w:hAnsi="仿宋_GB2312" w:cs="仿宋_GB2312" w:eastAsia="仿宋_GB2312"/>
              </w:rPr>
              <w:t>▲2.2 最大采样速率：≥150针/24h</w:t>
            </w:r>
          </w:p>
          <w:p>
            <w:pPr>
              <w:pStyle w:val="null3"/>
            </w:pPr>
            <w:r>
              <w:rPr>
                <w:rFonts w:ascii="仿宋_GB2312" w:hAnsi="仿宋_GB2312" w:cs="仿宋_GB2312" w:eastAsia="仿宋_GB2312"/>
              </w:rPr>
              <w:t>2.3 样品进样量：≤2μL/针</w:t>
            </w:r>
          </w:p>
          <w:p>
            <w:pPr>
              <w:pStyle w:val="null3"/>
            </w:pPr>
            <w:r>
              <w:rPr>
                <w:rFonts w:ascii="仿宋_GB2312" w:hAnsi="仿宋_GB2312" w:cs="仿宋_GB2312" w:eastAsia="仿宋_GB2312"/>
              </w:rPr>
              <w:t>3.高精度汽化器</w:t>
            </w:r>
          </w:p>
          <w:p>
            <w:pPr>
              <w:pStyle w:val="null3"/>
            </w:pPr>
            <w:r>
              <w:rPr>
                <w:rFonts w:ascii="仿宋_GB2312" w:hAnsi="仿宋_GB2312" w:cs="仿宋_GB2312" w:eastAsia="仿宋_GB2312"/>
              </w:rPr>
              <w:t>3.1 汽化室温度：≥100℃</w:t>
            </w:r>
          </w:p>
          <w:p>
            <w:pPr>
              <w:pStyle w:val="null3"/>
            </w:pPr>
            <w:r>
              <w:rPr>
                <w:rFonts w:ascii="仿宋_GB2312" w:hAnsi="仿宋_GB2312" w:cs="仿宋_GB2312" w:eastAsia="仿宋_GB2312"/>
              </w:rPr>
              <w:t>3.2 高温汽化，温度可设定</w:t>
            </w:r>
          </w:p>
          <w:p>
            <w:pPr>
              <w:pStyle w:val="null3"/>
            </w:pPr>
            <w:r>
              <w:rPr>
                <w:rFonts w:ascii="仿宋_GB2312" w:hAnsi="仿宋_GB2312" w:cs="仿宋_GB2312" w:eastAsia="仿宋_GB2312"/>
              </w:rPr>
              <w:t>4.有机物去除模块</w:t>
            </w:r>
          </w:p>
          <w:p>
            <w:pPr>
              <w:pStyle w:val="null3"/>
            </w:pPr>
            <w:r>
              <w:rPr>
                <w:rFonts w:ascii="仿宋_GB2312" w:hAnsi="仿宋_GB2312" w:cs="仿宋_GB2312" w:eastAsia="仿宋_GB2312"/>
              </w:rPr>
              <w:t>4.1 可有效消除水稳定同位素分析中的有机干扰，包括醇类、绿叶挥发物的多组分混合物等。</w:t>
            </w:r>
          </w:p>
          <w:p>
            <w:pPr>
              <w:pStyle w:val="null3"/>
            </w:pPr>
            <w:r>
              <w:rPr>
                <w:rFonts w:ascii="仿宋_GB2312" w:hAnsi="仿宋_GB2312" w:cs="仿宋_GB2312" w:eastAsia="仿宋_GB2312"/>
              </w:rPr>
              <w:t>▲4.2 植物水分提取物的测量不确定度(≤0.35%有机物)：δ</w:t>
            </w:r>
            <w:r>
              <w:rPr>
                <w:rFonts w:ascii="仿宋_GB2312" w:hAnsi="仿宋_GB2312" w:cs="仿宋_GB2312" w:eastAsia="仿宋_GB2312"/>
                <w:vertAlign w:val="superscript"/>
              </w:rPr>
              <w:t>18</w:t>
            </w:r>
            <w:r>
              <w:rPr>
                <w:rFonts w:ascii="仿宋_GB2312" w:hAnsi="仿宋_GB2312" w:cs="仿宋_GB2312" w:eastAsia="仿宋_GB2312"/>
              </w:rPr>
              <w:t>O≤0.2‰ 和δD≤ 1.5‰</w:t>
            </w:r>
          </w:p>
          <w:p>
            <w:pPr>
              <w:pStyle w:val="null3"/>
            </w:pPr>
            <w:r>
              <w:rPr>
                <w:rFonts w:ascii="仿宋_GB2312" w:hAnsi="仿宋_GB2312" w:cs="仿宋_GB2312" w:eastAsia="仿宋_GB2312"/>
              </w:rPr>
              <w:t>5.前处理配套样品池：样品位集成一体的样品池，两侧带防烫把手，重量≤3kg。</w:t>
            </w:r>
          </w:p>
          <w:p>
            <w:pPr>
              <w:pStyle w:val="null3"/>
            </w:pPr>
            <w:r>
              <w:rPr>
                <w:rFonts w:ascii="仿宋_GB2312" w:hAnsi="仿宋_GB2312" w:cs="仿宋_GB2312" w:eastAsia="仿宋_GB2312"/>
              </w:rPr>
              <w:t>6.前处理配套阀块：用于样品前处理固定冷凝管，阀块重量：≤100g。</w:t>
            </w:r>
          </w:p>
          <w:p>
            <w:pPr>
              <w:pStyle w:val="null3"/>
            </w:pPr>
            <w:r>
              <w:rPr>
                <w:rFonts w:ascii="仿宋_GB2312" w:hAnsi="仿宋_GB2312" w:cs="仿宋_GB2312" w:eastAsia="仿宋_GB2312"/>
              </w:rPr>
              <w:t>二、配置要求</w:t>
            </w:r>
          </w:p>
          <w:p>
            <w:pPr>
              <w:pStyle w:val="null3"/>
            </w:pPr>
            <w:r>
              <w:rPr>
                <w:rFonts w:ascii="仿宋_GB2312" w:hAnsi="仿宋_GB2312" w:cs="仿宋_GB2312" w:eastAsia="仿宋_GB2312"/>
              </w:rPr>
              <w:t>1．水同位素分析仪至少包含以下部件：</w:t>
            </w:r>
          </w:p>
          <w:p>
            <w:pPr>
              <w:pStyle w:val="null3"/>
            </w:pPr>
            <w:r>
              <w:rPr>
                <w:rFonts w:ascii="仿宋_GB2312" w:hAnsi="仿宋_GB2312" w:cs="仿宋_GB2312" w:eastAsia="仿宋_GB2312"/>
              </w:rPr>
              <w:t>1.1 水同位素分析仪主机1台</w:t>
            </w:r>
          </w:p>
          <w:p>
            <w:pPr>
              <w:pStyle w:val="null3"/>
            </w:pPr>
            <w:r>
              <w:rPr>
                <w:rFonts w:ascii="仿宋_GB2312" w:hAnsi="仿宋_GB2312" w:cs="仿宋_GB2312" w:eastAsia="仿宋_GB2312"/>
              </w:rPr>
              <w:t>1.2 自动进样器1台</w:t>
            </w:r>
          </w:p>
          <w:p>
            <w:pPr>
              <w:pStyle w:val="null3"/>
            </w:pPr>
            <w:r>
              <w:rPr>
                <w:rFonts w:ascii="仿宋_GB2312" w:hAnsi="仿宋_GB2312" w:cs="仿宋_GB2312" w:eastAsia="仿宋_GB2312"/>
              </w:rPr>
              <w:t>1.3 高精度汽化器1个</w:t>
            </w:r>
          </w:p>
          <w:p>
            <w:pPr>
              <w:pStyle w:val="null3"/>
            </w:pPr>
            <w:r>
              <w:rPr>
                <w:rFonts w:ascii="仿宋_GB2312" w:hAnsi="仿宋_GB2312" w:cs="仿宋_GB2312" w:eastAsia="仿宋_GB2312"/>
              </w:rPr>
              <w:t>1.4 有机物去除模块1套</w:t>
            </w:r>
          </w:p>
          <w:p>
            <w:pPr>
              <w:pStyle w:val="null3"/>
            </w:pPr>
            <w:r>
              <w:rPr>
                <w:rFonts w:ascii="仿宋_GB2312" w:hAnsi="仿宋_GB2312" w:cs="仿宋_GB2312" w:eastAsia="仿宋_GB2312"/>
              </w:rPr>
              <w:t>1.5 真空泵2个：功率≤300W，规格≥20L/min</w:t>
            </w:r>
          </w:p>
          <w:p>
            <w:pPr>
              <w:pStyle w:val="null3"/>
            </w:pPr>
            <w:r>
              <w:rPr>
                <w:rFonts w:ascii="仿宋_GB2312" w:hAnsi="仿宋_GB2312" w:cs="仿宋_GB2312" w:eastAsia="仿宋_GB2312"/>
              </w:rPr>
              <w:t>1.6 耗材包1套：含≥2个高精度进样针，样品瓶及样品盖≥2包（100个/包），隔片≥2盒（100片/盒），水同位素标样1套。</w:t>
            </w:r>
          </w:p>
          <w:p>
            <w:pPr>
              <w:pStyle w:val="null3"/>
            </w:pPr>
            <w:r>
              <w:rPr>
                <w:rFonts w:ascii="仿宋_GB2312" w:hAnsi="仿宋_GB2312" w:cs="仿宋_GB2312" w:eastAsia="仿宋_GB2312"/>
              </w:rPr>
              <w:t>1.7 高纯氮气1套：容积≥10L，配套减压阀、气瓶架。</w:t>
            </w:r>
          </w:p>
          <w:p>
            <w:pPr>
              <w:pStyle w:val="null3"/>
            </w:pPr>
            <w:r>
              <w:rPr>
                <w:rFonts w:ascii="仿宋_GB2312" w:hAnsi="仿宋_GB2312" w:cs="仿宋_GB2312" w:eastAsia="仿宋_GB2312"/>
              </w:rPr>
              <w:t>1.8 终端显示设备：尺寸≥21英寸。</w:t>
            </w:r>
          </w:p>
          <w:p>
            <w:pPr>
              <w:pStyle w:val="null3"/>
            </w:pPr>
            <w:r>
              <w:rPr>
                <w:rFonts w:ascii="仿宋_GB2312" w:hAnsi="仿宋_GB2312" w:cs="仿宋_GB2312" w:eastAsia="仿宋_GB2312"/>
              </w:rPr>
              <w:t>1.9 样品池1个，阀块1套。</w:t>
            </w:r>
          </w:p>
          <w:p>
            <w:pPr>
              <w:pStyle w:val="null3"/>
            </w:pPr>
            <w:r>
              <w:rPr>
                <w:rFonts w:ascii="仿宋_GB2312" w:hAnsi="仿宋_GB2312" w:cs="仿宋_GB2312" w:eastAsia="仿宋_GB2312"/>
              </w:rPr>
              <w:t>1.10 软件1套。</w:t>
            </w:r>
          </w:p>
          <w:p>
            <w:pPr>
              <w:pStyle w:val="null3"/>
            </w:pPr>
            <w:r>
              <w:rPr>
                <w:rFonts w:ascii="仿宋_GB2312" w:hAnsi="仿宋_GB2312" w:cs="仿宋_GB2312" w:eastAsia="仿宋_GB2312"/>
              </w:rPr>
              <w:t>2.数据存储与传输：具备数据本地存储及数据实时无线传输至数据综汇软件平台功能。</w:t>
            </w:r>
          </w:p>
          <w:p>
            <w:pPr>
              <w:pStyle w:val="null3"/>
            </w:pPr>
            <w:r>
              <w:rPr>
                <w:rFonts w:ascii="仿宋_GB2312" w:hAnsi="仿宋_GB2312" w:cs="仿宋_GB2312" w:eastAsia="仿宋_GB2312"/>
              </w:rPr>
              <w:t>2.1 数据管理：数据接收与管理用户可直接下载原始数据、上传缺失数据、管理数据存储。</w:t>
            </w:r>
          </w:p>
          <w:p>
            <w:pPr>
              <w:pStyle w:val="null3"/>
            </w:pPr>
            <w:r>
              <w:rPr>
                <w:rFonts w:ascii="仿宋_GB2312" w:hAnsi="仿宋_GB2312" w:cs="仿宋_GB2312" w:eastAsia="仿宋_GB2312"/>
              </w:rPr>
              <w:t>2.2 数据存储：可查看不同仪器设备的原始数据信息，包括文件名、保存路径、创建时间、修改时间和文件大小等信息。</w:t>
            </w:r>
          </w:p>
          <w:p>
            <w:pPr>
              <w:pStyle w:val="null3"/>
            </w:pPr>
            <w:r>
              <w:rPr>
                <w:rFonts w:ascii="仿宋_GB2312" w:hAnsi="仿宋_GB2312" w:cs="仿宋_GB2312" w:eastAsia="仿宋_GB2312"/>
              </w:rPr>
              <w:t>2.3 数据下载：选择需要的数据表、数据格式和日期后，即可下载该时段内的数据文件，格式支持.txt、.dat、.csv。同时可采用USB进行下载。</w:t>
            </w:r>
          </w:p>
          <w:p>
            <w:pPr>
              <w:pStyle w:val="null3"/>
            </w:pPr>
            <w:r>
              <w:rPr>
                <w:rFonts w:ascii="仿宋_GB2312" w:hAnsi="仿宋_GB2312" w:cs="仿宋_GB2312" w:eastAsia="仿宋_GB2312"/>
              </w:rPr>
              <w:t>2.4 数据上传：可自行上传数据，格式支持.txt、.dat、.csv文件格式，拖动文件至特定位置即可完成上传。</w:t>
            </w:r>
          </w:p>
          <w:p>
            <w:pPr>
              <w:pStyle w:val="null3"/>
            </w:pPr>
            <w:r>
              <w:rPr>
                <w:rFonts w:ascii="仿宋_GB2312" w:hAnsi="仿宋_GB2312" w:cs="仿宋_GB2312" w:eastAsia="仿宋_GB2312"/>
              </w:rPr>
              <w:t>2.5 数据可视化：支持多种类型数据自动收集、入库，可将数据库中每个仪器设备每一项数据图形化展示，支持多种图表样式，可按照设备-字段-间隔-图表类型自动完成可视化处理。</w:t>
            </w:r>
          </w:p>
          <w:p>
            <w:pPr>
              <w:pStyle w:val="null3"/>
            </w:pPr>
            <w:r>
              <w:rPr>
                <w:rFonts w:ascii="仿宋_GB2312" w:hAnsi="仿宋_GB2312" w:cs="仿宋_GB2312" w:eastAsia="仿宋_GB2312"/>
              </w:rPr>
              <w:t>3.软件功能：具备数据管理与主动预警等功能。直观显示设备基本信息及运行状态；实时传输、存储、下载并共享传递到服务器的数据，对于异常情况主动邮件预警。</w:t>
            </w:r>
          </w:p>
          <w:p>
            <w:pPr>
              <w:pStyle w:val="null3"/>
            </w:pPr>
            <w:r>
              <w:rPr>
                <w:rFonts w:ascii="仿宋_GB2312" w:hAnsi="仿宋_GB2312" w:cs="仿宋_GB2312" w:eastAsia="仿宋_GB2312"/>
              </w:rPr>
              <w:t>3.1 可查看权限内各个仪器设备的目标数据以及预警信息，实现对多个设备的实时监控。</w:t>
            </w:r>
          </w:p>
          <w:p>
            <w:pPr>
              <w:pStyle w:val="null3"/>
            </w:pPr>
            <w:r>
              <w:rPr>
                <w:rFonts w:ascii="仿宋_GB2312" w:hAnsi="仿宋_GB2312" w:cs="仿宋_GB2312" w:eastAsia="仿宋_GB2312"/>
              </w:rPr>
              <w:t>3.2 可直观查看各个仪器设备状态，设备详细信息、数据演示、数据下载和告警信息界面。</w:t>
            </w:r>
          </w:p>
          <w:p>
            <w:pPr>
              <w:pStyle w:val="null3"/>
            </w:pPr>
            <w:r>
              <w:rPr>
                <w:rFonts w:ascii="仿宋_GB2312" w:hAnsi="仿宋_GB2312" w:cs="仿宋_GB2312" w:eastAsia="仿宋_GB2312"/>
              </w:rPr>
              <w:t>3.3 可监控各个参数，通过邮件、短信等警报方式及时告知设备工作状态，包括数值异常以及通讯异常。支持智能预警，同时判断多条参数的状态防止误报警；支持比对报警，增加报警的范围及数据的可信度。</w:t>
            </w:r>
          </w:p>
          <w:p>
            <w:pPr>
              <w:pStyle w:val="null3"/>
            </w:pPr>
            <w:r>
              <w:rPr>
                <w:rFonts w:ascii="仿宋_GB2312" w:hAnsi="仿宋_GB2312" w:cs="仿宋_GB2312" w:eastAsia="仿宋_GB2312"/>
              </w:rPr>
              <w:t>3.4 系统可实现数据与程序的分离，前台与后台的分离，界面与程序的分离,对关键数据采取严格身份认证的访问权限限制。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合同签订后60个日历日内完成安装并交付采购人使用。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西安理工大学金花校区学科1号楼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设备运抵招标人指定地点并经招标人初步查验无误后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设备安装调试完成，经招标人验收合格并签署《验收合格报告》后，中标人开具全额合法有效的增值税专用发票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不少于连续72小时无故障运行测试且连续运行48小时无故障；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运输责任：运输由中标人负责，运杂费已包含在合同总价内。包括从货物供应地点运送至交付地点所含的运输费、装卸费、仓储费、保险费等一切直接费、间接费；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标的物必须为全新的、来源合法，符合国家或有关行业质量标准。合同标的物自项目验收合格之日起质保期不少于1年，质保期自甲方在货物质量验收合格之日起计算。本项目质保期内所产生的全部费用（含但不限于设备维修、零部件更换、人工服务、技术支持等与产品质量保障相关的费用），均已包含在本次投标报价中，采购人在质保期内不再向中标人支付任何额外费用。在质保期内，每年提供不少于 1 次的相关操作培训。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合同违约情况按《中华人民共和国民法典》中的相关条款执行。2、甲乙双方必须遵守本合同并执行合同中的各项规定，保证本合同的正常履行。3、如因乙方工作人员在履行职务过程中的疏忽、失职、过错等故意或者过失原因给甲方造成损失或侵害，包括但不限于甲方本身的财产损失、由此而导致的甲方对任何第三方的法律责任等，乙方对此均应承担全部的赔偿责任。4、未按合同要求提供设备或提供的设备质量或规格不能满足技术要求，甲方有权终止合同并对乙方违约行为进行追究，同时按政府采购法的有关规定进行相应的处罚。 解决合同纠纷的方式 1、在执行本合同中发生的或与本合同有关的争端，双方应通过友好协商解决，经协商不能达成协议时，则采取以下第2种方式解决争议： （1）向甲方所在地有管辖权的人民法院提起诉讼；（2）向西安仲裁委员会按其仲裁规则申请仲裁。 2、在仲裁期间，本合同应继续履行。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3.4商务要求3.4.4支付约定为系统固定推述内容，具体付款方式以下列内容为准：合同签订后5个工作日内，招标人向中标人预付合同总价的40%；设备运抵招标人指定地点并经招标人初步查验无误后7个工作日内，招标人向中标人支付合同总价的30%；设备安装调试完成，经招标人验收合格并签署《验收合格报告》后，中标人开具全额合法有效的增值税专用发票，招标人7个工作日内向乙方支付合同总价的30%。 2.用保函形式缴纳投标保证金的投标人应按照陕西省政府采购网的相关要求进行递交，同时还需在投标截止时间前将保函扫描成清晰的PDF文件发送至邮箱1253677747@qq.com（邮件命名：项目编号+项目名称） 3.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单位负责人为同一人或者存在直接控股、管理关系的其他供应商不得参与同一合同项下的政府采购活动的行为。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投标人应授权合法的人员参加本项目招标活动全过程；</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投标文件未含有招标人不能接受的附加条件或其他情形。</w:t>
            </w:r>
          </w:p>
        </w:tc>
        <w:tc>
          <w:tcPr>
            <w:tcW w:type="dxa" w:w="1661"/>
          </w:tcPr>
          <w:p>
            <w:pPr>
              <w:pStyle w:val="null3"/>
            </w:pPr>
            <w:r>
              <w:rPr>
                <w:rFonts w:ascii="仿宋_GB2312" w:hAnsi="仿宋_GB2312" w:cs="仿宋_GB2312" w:eastAsia="仿宋_GB2312"/>
              </w:rPr>
              <w:t>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技术方案.docx 产品技术参数表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技术方案.docx 产品技术参数表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 1.完全满足采购技术要求的，得33分； 2.“★”项技术参数为实质性要求，不允许负偏离，否则为无效响应； 3.“▲”项技术参数为重要参数，每负偏离一项扣4分，扣完为止； 4.无标识参数为一般参数，每负偏离一项扣0.5分，扣完为止； 注：投标人对所投产品“▲”项参数须提供相应的佐证材料（不限于产品彩页或官网截图或产品白皮书或技术规格表或国家认可的第三方检测报告等），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根据投标人提供的供货方案（包含①供货计划；②配送与交付运输方案；③应急保障）进行评审： ①供货计划：供货计划方案流程清晰、有序各环节内容明确，符合本项目要求的得2分； 供货计划方案完整，内容简单，与本项目采购需求存在细微偏差的得1分； ②配送与交付运输方案：配送与交付运输方案安排合理，高效，能够及时送达，能够保障项目高效实施的得2分； 配送与交付运输方案内容简单，可能影响项目实施的得1分； ③应急保障：针对各种突发事件具有详细的保障措施，能够保障项目高效实施的得2分； 应急保障措施方案存在部分缺陷，可能影响项目实施的得1分；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根据投标人提供的组织保证措施（包含①组织机构方案；②专业服务团队情况）进行评审： ①组织机构：组织机构完备，框架结构完整，运行机制有效的得2分； 组织机构存在缺陷，框架结构残缺松散，运行机制低效的得1分； ②服务团队：服务团队人员充实、结构合理、经验丰富，能够保障项目高效实施的得2分； 服务团队人员简单、结构基本合理、经验存在一定欠缺，可能影响项目实施的得1分；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根据投标人提供的安装调试阶段的质量保证措施（包括①安装调试工具及安装调试人员配置情况；②安装调试过程中对产品的保护措施）进行评审： ①安装调试工具及安装调试人员配置情况： 配备的安装调试工具先进适配，安装调试人员具有专业性，且在安装调试方面具备充足的经验的，完全满足安装调试要求的得2分； 配备的安装调试工具及安装调试人员具有专业性，在安装调试方面经验稍有欠缺的得1分； ②安装调试过程中对产品的保护措施： 在安装调试过程中的保护措施详细合理可行，保证对产品不会造成损坏的得2分； 在安装调试过程中的保护措施简单粗略，无法保证对产品不会造成损坏的得1分；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根据投标人提供的质量保证措施（包含①质量管理体系；②质量控制流程；）进行评审： ①质量管理体系：质量管理体系明确，内容全面详细准确，能够保障项目高效实施的得2分； 质量管理体系模糊不清，可能影响项目实施的得1分； ②质量控制流程：质量控制流程清晰明确，内容全面详细，能够保障项目高效实施的得2分； 质量控制流程混乱，可能影响项目实施的得1分；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根据投标人提供的进度保证措施（包括①运输进度保证措施；②安装调试进度保证措施）进行评审： ①运输进度保证措施： 运输进度安排合理、详细，能够保障项目高效实施的得2分； 运输进度安排基本合理，方案内容较为简单，可能影响项目实施的得1分； ②安装调试进度保证措施： 安装、调试进度安排合理、详细，能够保障项目高效实施的得2分； 安装、调试进度安排基本合理，方案内容较为简单，可能影响项目实施的得1分；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根据投标人提供的售后服务（包含①售后服务专职人员安排及承诺；②售后响应时间；③应急处理方案④售后巡查及质量跟踪方案）进行评审： ①售后服务专职人员安排及承诺：投标人能够提供专职售后服务人员且证明材料齐全（提供专职人员身份证复印件或劳动合同）完全满足本项目需求的得2分； 投标人能够提供专职售后服务人员但证明材料存在欠缺（提供专职人员身份证复印件及劳动合同）的得1分； ②售后响应时间：投标人承诺能够及时有效的为采购人提供相应售后服务的能力，并配备有专业技术人员提供实时技术支持的得1分（提供承诺书，承诺书格式自拟）； ③应急处理方案：出现故障情况具备详细有效的应急方案，考虑充分，能够保障项目高效实施的得2分； 应急方案存在一定欠缺，与项目实际需求存在细微偏差，可能影响项目实施的得1分； ④售后巡查及质量跟踪方案：投标人能够定时对产品进行故障检测排除及质量跟踪，主动发现潜在问题，避免问题扩大，各项流程清晰明确，能够保障项目高效实施的得2分； 售后巡查及质量跟踪方案存在一定欠缺，与项目实际需求存在细微偏差，可能影响项目实施的得1分；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根据投标人提供的培训方案（包含①培训人员安排及培训课程计划；②培训的内容、方式等）进行评审， ①培训人员安排及培训课程计划：培训人员安排充沛，分工合理的，培训计划安排合理，丰富，能够保障项目高效实施的得2分； 培训人员简单，职责不清，培训计划安排混乱，可能影响项目实施的得1分； 培训计划安排混乱，可能影响项目实施的得1分； ②培训的内容、方式：培训内容丰富，方式新颖满足项目需求的得2分； 培训内容简单，方式常规与项目需求存在细微偏差的得1分；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根据投标人提供的质保期承诺进行评审，质保期承诺书格式自拟；质保期在满足招标文件要求的基础上每延长1年加0.5分，最多加1分。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投标人提供自2023年3月1日至投标文件递交截止时间前的类似项目业绩证明材料。每提供1个完整合同复印件的得0.5分，满分3分。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