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版本号：KY2026-3-077.20260417001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2025年老年健康与医养结合能力提升项目-省老年病医院能力提升项目（慢病管理及互联网医院建设-老年综合评估训练系统）(二次)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KY2026-3-077.</w:t>
      </w:r>
      <w:r>
        <w:br/>
      </w:r>
      <w:r>
        <w:br/>
      </w:r>
      <w:r>
        <w:br/>
      </w:r>
    </w:p>
    <w:p>
      <w:pPr>
        <w:pStyle w:val="null3"/>
        <w:jc w:val="center"/>
        <w:outlineLvl w:val="2"/>
      </w:pPr>
      <w:r>
        <w:rPr>
          <w:rFonts w:ascii="仿宋_GB2312" w:hAnsi="仿宋_GB2312" w:cs="仿宋_GB2312" w:eastAsia="仿宋_GB2312"/>
          <w:sz w:val="28"/>
          <w:b/>
        </w:rPr>
        <w:t>省第二人民医院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省第二人民医院</w:t>
      </w:r>
      <w:r>
        <w:rPr>
          <w:rFonts w:ascii="仿宋_GB2312" w:hAnsi="仿宋_GB2312" w:cs="仿宋_GB2312" w:eastAsia="仿宋_GB2312"/>
        </w:rPr>
        <w:t>委托，拟对</w:t>
      </w:r>
      <w:r>
        <w:rPr>
          <w:rFonts w:ascii="仿宋_GB2312" w:hAnsi="仿宋_GB2312" w:cs="仿宋_GB2312" w:eastAsia="仿宋_GB2312"/>
        </w:rPr>
        <w:t>2025年老年健康与医养结合能力提升项目-省老年病医院能力提升项目（慢病管理及互联网医院建设-老年综合评估训练系统）(二次)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2025年老年健康与医养结合能力提升项目-省老年病医院能力提升项目（慢病管理及互联网医院建设-老年综合评估训练系统）(二次)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老年健康与医养结合能力提升项目-省老年病医院能力提升项目（慢病管理及互联网医院建设-老年综合评估训练系统），项目内容包括：评估、认知功能训练终端及配套软件系统，涵盖老年综合征、认知功能、平衡能力、日常生活能力等全部核心量表。支持多终端数据互联，实现评估结果自动分析与训练进度动态追踪，确保临床应用的精准性与可操作性。评估设备具备良好的人机交互体验和临床适配性，能够满足住院、门诊及社区延伸服务等多种场景需求，支持在医院官网、小程序等多途径投放简易版自评，便于患者居家自评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采购包1（2025年老年健康与医养结合能力提升项目-省老年病医院能力提升项目（慢病管理及互联网医院建设-老年综合评估训练系统））：属于专门面向中小企业采购。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省第二人民医院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陕西省西安市尚勤路3号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029-87422561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省第二人民医院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省第二人民医院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省第二人民医院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联系人：谢婷婷、黄梦迪、戈迪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老年健康与医养结合能力提升项目-省老年病医院能力提升项目（慢病管理及互联网医院建设-老年综合评估训练系统），项目内容包括：评估、认知功能训练终端及配套软件系统，涵盖老年综合征、认知功能、平衡能力、日常生活能力等全部核心量表。支持多终端数据互联，实现评估结果自动分析与训练进度动态追踪，确保临床应用的精准性与可操作性。评估设备具备良好的人机交互体验和临床适配性，能够满足住院、门诊及社区延伸服务等多种场景需求，支持在医院官网、小程序等多途径投放简易版自评，便于患者居家自评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慢病管理及互联网医院建设-老年综合评估训练系统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标的名称：慢病管理及互联网医院建设-老年综合评估训练系统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pPr>
            <w:r>
              <w:rPr>
                <w:rFonts w:ascii="仿宋_GB2312" w:hAnsi="仿宋_GB2312" w:cs="仿宋_GB2312" w:eastAsia="仿宋_GB2312"/>
              </w:rPr>
              <w:t xml:space="preserve">        包括评估、认知功能训练终端及配套软件系统，涵盖老年综合征、认知功能、平衡能力、日常生活能力等全部核心量表。支持多终端数据互联，实现评估结果自动分析与训练进度动态追踪，确保临床应用的精准性与可操作性。评估设备具备良好的人机交互体验和临床适配性，能够满足住院、门诊及社区延伸服务等多种场景需求。项目实施后，能够有效的提升医院服务老年群体，并且能够有效的强化区域辐射能力。支持在医院官网、小程序等多途径投放简易版自评，便于患者居家自评，提升健康宣教覆盖面与公众参与度。通过线上初筛与线下深度评估相结合，优化医疗资源配置，减轻门诊压力。可接入医院现有及后续建设系统，实现评估数据共享与远程协同干预，全面提升老年健康管理的智能化、规范化水平。系统建设需符合国家信息安全三级等保、密评要求。严格遵循《网络安全法》《数据安全法》及《个人信息保护法》等相关规定，确保数据采集、传输、存储、使用全过程合规可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二、</w:t>
            </w:r>
            <w:r>
              <w:rPr>
                <w:rFonts w:ascii="仿宋_GB2312" w:hAnsi="仿宋_GB2312" w:cs="仿宋_GB2312" w:eastAsia="仿宋_GB2312"/>
                <w:b/>
              </w:rPr>
              <w:t>基础系统要求</w:t>
            </w:r>
          </w:p>
          <w:p>
            <w:pPr>
              <w:pStyle w:val="null3"/>
              <w:jc w:val="left"/>
            </w:pPr>
            <w:r>
              <w:rPr>
                <w:rFonts w:ascii="仿宋_GB2312" w:hAnsi="仿宋_GB2312" w:cs="仿宋_GB2312" w:eastAsia="仿宋_GB2312"/>
              </w:rPr>
              <w:t>1、</w:t>
            </w:r>
            <w:r>
              <w:rPr>
                <w:rFonts w:ascii="仿宋_GB2312" w:hAnsi="仿宋_GB2312" w:cs="仿宋_GB2312" w:eastAsia="仿宋_GB2312"/>
              </w:rPr>
              <w:t>整体要求</w:t>
            </w:r>
          </w:p>
          <w:p>
            <w:pPr>
              <w:pStyle w:val="null3"/>
              <w:ind w:firstLine="400"/>
              <w:jc w:val="left"/>
            </w:pPr>
            <w:r>
              <w:rPr>
                <w:rFonts w:ascii="仿宋_GB2312" w:hAnsi="仿宋_GB2312" w:cs="仿宋_GB2312" w:eastAsia="仿宋_GB2312"/>
              </w:rPr>
              <w:t>系统开发应遵循稳定性、安全性、易维护性、易操作性、可扩展性、开放性的原则，符合国内相关行业技术标准要求，包括功能规范、数据标准、建设与管理标准等。</w:t>
            </w:r>
          </w:p>
          <w:p>
            <w:pPr>
              <w:pStyle w:val="null3"/>
              <w:jc w:val="left"/>
            </w:pPr>
            <w:r>
              <w:rPr>
                <w:rFonts w:ascii="仿宋_GB2312" w:hAnsi="仿宋_GB2312" w:cs="仿宋_GB2312" w:eastAsia="仿宋_GB2312"/>
              </w:rPr>
              <w:t>2、</w:t>
            </w:r>
            <w:r>
              <w:rPr>
                <w:rFonts w:ascii="仿宋_GB2312" w:hAnsi="仿宋_GB2312" w:cs="仿宋_GB2312" w:eastAsia="仿宋_GB2312"/>
              </w:rPr>
              <w:t>多层架构</w:t>
            </w:r>
          </w:p>
          <w:p>
            <w:pPr>
              <w:pStyle w:val="null3"/>
              <w:ind w:firstLine="400"/>
              <w:jc w:val="left"/>
            </w:pPr>
            <w:r>
              <w:rPr>
                <w:rFonts w:ascii="仿宋_GB2312" w:hAnsi="仿宋_GB2312" w:cs="仿宋_GB2312" w:eastAsia="仿宋_GB2312"/>
              </w:rPr>
              <w:t>评估端采用国产化适配的多层架构</w:t>
            </w:r>
            <w:r>
              <w:rPr>
                <w:rFonts w:ascii="仿宋_GB2312" w:hAnsi="仿宋_GB2312" w:cs="仿宋_GB2312" w:eastAsia="仿宋_GB2312"/>
              </w:rPr>
              <w:t>B/S结构，支持 PC、移动端跨平台（Windows、Linux、MacOS、Android等）的应用展示，兼容国产化软硬件生态。</w:t>
            </w:r>
          </w:p>
          <w:p>
            <w:pPr>
              <w:pStyle w:val="null3"/>
              <w:jc w:val="left"/>
            </w:pPr>
            <w:r>
              <w:rPr>
                <w:rFonts w:ascii="仿宋_GB2312" w:hAnsi="仿宋_GB2312" w:cs="仿宋_GB2312" w:eastAsia="仿宋_GB2312"/>
              </w:rPr>
              <w:t>3、</w:t>
            </w:r>
            <w:r>
              <w:rPr>
                <w:rFonts w:ascii="仿宋_GB2312" w:hAnsi="仿宋_GB2312" w:cs="仿宋_GB2312" w:eastAsia="仿宋_GB2312"/>
              </w:rPr>
              <w:t>服务监控</w:t>
            </w:r>
          </w:p>
          <w:p>
            <w:pPr>
              <w:pStyle w:val="null3"/>
              <w:ind w:firstLine="400"/>
              <w:jc w:val="left"/>
            </w:pPr>
            <w:r>
              <w:rPr>
                <w:rFonts w:ascii="仿宋_GB2312" w:hAnsi="仿宋_GB2312" w:cs="仿宋_GB2312" w:eastAsia="仿宋_GB2312"/>
              </w:rPr>
              <w:t>软件包含日志管理模块，包括登录日志、数据变化日志等。软件须有详细的服务器监控模块，至少包含</w:t>
            </w:r>
            <w:r>
              <w:rPr>
                <w:rFonts w:ascii="仿宋_GB2312" w:hAnsi="仿宋_GB2312" w:cs="仿宋_GB2312" w:eastAsia="仿宋_GB2312"/>
              </w:rPr>
              <w:t>redis 监控（图表+日志）、tomcat监控、服务器基本参数监控、JVM 监控、请求追踪、磁盘监控。</w:t>
            </w:r>
          </w:p>
          <w:p>
            <w:pPr>
              <w:pStyle w:val="null3"/>
              <w:jc w:val="left"/>
            </w:pPr>
            <w:r>
              <w:rPr>
                <w:rFonts w:ascii="仿宋_GB2312" w:hAnsi="仿宋_GB2312" w:cs="仿宋_GB2312" w:eastAsia="仿宋_GB2312"/>
              </w:rPr>
              <w:t>4、</w:t>
            </w:r>
            <w:r>
              <w:rPr>
                <w:rFonts w:ascii="仿宋_GB2312" w:hAnsi="仿宋_GB2312" w:cs="仿宋_GB2312" w:eastAsia="仿宋_GB2312"/>
              </w:rPr>
              <w:t>量表数量</w:t>
            </w:r>
          </w:p>
          <w:p>
            <w:pPr>
              <w:pStyle w:val="null3"/>
              <w:ind w:firstLine="400"/>
              <w:jc w:val="left"/>
            </w:pPr>
            <w:r>
              <w:rPr>
                <w:rFonts w:ascii="仿宋_GB2312" w:hAnsi="仿宋_GB2312" w:cs="仿宋_GB2312" w:eastAsia="仿宋_GB2312"/>
              </w:rPr>
              <w:t>量表配置符合国家相关指南要求中的全部量表，包含但不限于</w:t>
            </w:r>
            <w:r>
              <w:rPr>
                <w:rFonts w:ascii="仿宋_GB2312" w:hAnsi="仿宋_GB2312" w:cs="仿宋_GB2312" w:eastAsia="仿宋_GB2312"/>
              </w:rPr>
              <w:t>CGA 老年综合评估、神经心理认知评估、双心评估、消化心身评估、心理健康筛查评估等类型，支持按需无限扩展。</w:t>
            </w:r>
          </w:p>
          <w:p>
            <w:pPr>
              <w:pStyle w:val="null3"/>
              <w:jc w:val="left"/>
            </w:pPr>
            <w:r>
              <w:rPr>
                <w:rFonts w:ascii="仿宋_GB2312" w:hAnsi="仿宋_GB2312" w:cs="仿宋_GB2312" w:eastAsia="仿宋_GB2312"/>
              </w:rPr>
              <w:t>5、</w:t>
            </w:r>
            <w:r>
              <w:rPr>
                <w:rFonts w:ascii="仿宋_GB2312" w:hAnsi="仿宋_GB2312" w:cs="仿宋_GB2312" w:eastAsia="仿宋_GB2312"/>
              </w:rPr>
              <w:t>多维度查询</w:t>
            </w:r>
          </w:p>
          <w:p>
            <w:pPr>
              <w:pStyle w:val="null3"/>
              <w:ind w:firstLine="400"/>
              <w:jc w:val="left"/>
            </w:pPr>
            <w:r>
              <w:rPr>
                <w:rFonts w:ascii="仿宋_GB2312" w:hAnsi="仿宋_GB2312" w:cs="仿宋_GB2312" w:eastAsia="仿宋_GB2312"/>
              </w:rPr>
              <w:t>系统本身具有灵活的过滤查询方式，本地化开发的过程中，会根据院方工作人员操作特点做个性化查询配置，展示页面可视化支持按要求配置。</w:t>
            </w:r>
          </w:p>
          <w:p>
            <w:pPr>
              <w:pStyle w:val="null3"/>
              <w:jc w:val="left"/>
            </w:pPr>
            <w:r>
              <w:rPr>
                <w:rFonts w:ascii="仿宋_GB2312" w:hAnsi="仿宋_GB2312" w:cs="仿宋_GB2312" w:eastAsia="仿宋_GB2312"/>
              </w:rPr>
              <w:t>6、</w:t>
            </w:r>
            <w:r>
              <w:rPr>
                <w:rFonts w:ascii="仿宋_GB2312" w:hAnsi="仿宋_GB2312" w:cs="仿宋_GB2312" w:eastAsia="仿宋_GB2312"/>
              </w:rPr>
              <w:t>安装部署</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）部署环境：满足医院本地化部署要求，基于虚拟化服务器搭建基础运行环境，系统服务器必须部署在医院内网，保障数据内网闭环管理。</w:t>
            </w:r>
          </w:p>
          <w:p>
            <w:pPr>
              <w:pStyle w:val="null3"/>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）系统互联互通：支持从</w:t>
            </w:r>
            <w:r>
              <w:rPr>
                <w:rFonts w:ascii="仿宋_GB2312" w:hAnsi="仿宋_GB2312" w:cs="仿宋_GB2312" w:eastAsia="仿宋_GB2312"/>
              </w:rPr>
              <w:t>HIS/电子病历系统发起评估需求，评估完成后按预设联动规则将评估数据、完整评估报告推送回对应系统；实现界面功能融合、数据双向实时同步，评估数据可纳入医院统一数据评估管理体系。</w:t>
            </w:r>
          </w:p>
          <w:p>
            <w:pPr>
              <w:pStyle w:val="null3"/>
              <w:jc w:val="left"/>
            </w:pPr>
            <w:r>
              <w:rPr>
                <w:rFonts w:ascii="仿宋_GB2312" w:hAnsi="仿宋_GB2312" w:cs="仿宋_GB2312" w:eastAsia="仿宋_GB2312"/>
              </w:rPr>
              <w:t>7.安全要求</w:t>
            </w:r>
          </w:p>
          <w:p>
            <w:pPr>
              <w:pStyle w:val="null3"/>
            </w:pPr>
            <w:r>
              <w:rPr>
                <w:rFonts w:ascii="仿宋_GB2312" w:hAnsi="仿宋_GB2312" w:cs="仿宋_GB2312" w:eastAsia="仿宋_GB2312"/>
              </w:rPr>
              <w:t xml:space="preserve">         多层安全性保障，从操作系统、数据库、应用软件等多层次设置安全屏障，有效保证数据安全、不被篡改，保障网络信息的安全性、完整性。</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rPr>
              <w:t>三、</w:t>
            </w:r>
            <w:r>
              <w:rPr>
                <w:rFonts w:ascii="仿宋_GB2312" w:hAnsi="仿宋_GB2312" w:cs="仿宋_GB2312" w:eastAsia="仿宋_GB2312"/>
                <w:b/>
              </w:rPr>
              <w:t>工作站</w:t>
            </w:r>
          </w:p>
          <w:p>
            <w:pPr>
              <w:pStyle w:val="null3"/>
              <w:jc w:val="left"/>
            </w:pPr>
            <w:r>
              <w:rPr>
                <w:rFonts w:ascii="仿宋_GB2312" w:hAnsi="仿宋_GB2312" w:cs="仿宋_GB2312" w:eastAsia="仿宋_GB2312"/>
                <w:b/>
              </w:rPr>
              <w:t>1、</w:t>
            </w:r>
            <w:r>
              <w:rPr>
                <w:rFonts w:ascii="仿宋_GB2312" w:hAnsi="仿宋_GB2312" w:cs="仿宋_GB2312" w:eastAsia="仿宋_GB2312"/>
                <w:b/>
              </w:rPr>
              <w:t>电脑台车（</w:t>
            </w:r>
            <w:r>
              <w:rPr>
                <w:rFonts w:ascii="仿宋_GB2312" w:hAnsi="仿宋_GB2312" w:cs="仿宋_GB2312" w:eastAsia="仿宋_GB2312"/>
                <w:b/>
              </w:rPr>
              <w:t>1台）</w:t>
            </w:r>
          </w:p>
          <w:p>
            <w:pPr>
              <w:pStyle w:val="null3"/>
              <w:ind w:left="420"/>
              <w:jc w:val="left"/>
            </w:pPr>
            <w:r>
              <w:rPr>
                <w:rFonts w:ascii="仿宋_GB2312" w:hAnsi="仿宋_GB2312" w:cs="仿宋_GB2312" w:eastAsia="仿宋_GB2312"/>
              </w:rPr>
              <w:t>(1)</w:t>
            </w:r>
            <w:r>
              <w:rPr>
                <w:rFonts w:ascii="仿宋_GB2312" w:hAnsi="仿宋_GB2312" w:cs="仿宋_GB2312" w:eastAsia="仿宋_GB2312"/>
              </w:rPr>
              <w:t>PC模块</w:t>
            </w:r>
            <w:r>
              <w:rPr>
                <w:rFonts w:ascii="仿宋_GB2312" w:hAnsi="仿宋_GB2312" w:cs="仿宋_GB2312" w:eastAsia="仿宋_GB2312"/>
              </w:rPr>
              <w:t>CPU≥四核1.80G</w:t>
            </w:r>
          </w:p>
          <w:p>
            <w:pPr>
              <w:pStyle w:val="null3"/>
              <w:ind w:left="420"/>
              <w:jc w:val="left"/>
            </w:pPr>
            <w:r>
              <w:rPr>
                <w:rFonts w:ascii="仿宋_GB2312" w:hAnsi="仿宋_GB2312" w:cs="仿宋_GB2312" w:eastAsia="仿宋_GB2312"/>
              </w:rPr>
              <w:t>(2)</w:t>
            </w:r>
            <w:r>
              <w:rPr>
                <w:rFonts w:ascii="仿宋_GB2312" w:hAnsi="仿宋_GB2312" w:cs="仿宋_GB2312" w:eastAsia="仿宋_GB2312"/>
              </w:rPr>
              <w:t>内存</w:t>
            </w:r>
            <w:r>
              <w:rPr>
                <w:rFonts w:ascii="仿宋_GB2312" w:hAnsi="仿宋_GB2312" w:cs="仿宋_GB2312" w:eastAsia="仿宋_GB2312"/>
              </w:rPr>
              <w:t>≥8G 支持DDR3</w:t>
            </w:r>
          </w:p>
          <w:p>
            <w:pPr>
              <w:pStyle w:val="null3"/>
              <w:ind w:left="420"/>
              <w:jc w:val="left"/>
            </w:pPr>
            <w:r>
              <w:rPr>
                <w:rFonts w:ascii="仿宋_GB2312" w:hAnsi="仿宋_GB2312" w:cs="仿宋_GB2312" w:eastAsia="仿宋_GB2312"/>
              </w:rPr>
              <w:t>(3)</w:t>
            </w:r>
            <w:r>
              <w:rPr>
                <w:rFonts w:ascii="仿宋_GB2312" w:hAnsi="仿宋_GB2312" w:cs="仿宋_GB2312" w:eastAsia="仿宋_GB2312"/>
              </w:rPr>
              <w:t>固态硬盘</w:t>
            </w:r>
            <w:r>
              <w:rPr>
                <w:rFonts w:ascii="仿宋_GB2312" w:hAnsi="仿宋_GB2312" w:cs="仿宋_GB2312" w:eastAsia="仿宋_GB2312"/>
              </w:rPr>
              <w:t>≥SSD240G</w:t>
            </w:r>
          </w:p>
          <w:p>
            <w:pPr>
              <w:pStyle w:val="null3"/>
              <w:ind w:left="420"/>
              <w:jc w:val="left"/>
            </w:pPr>
            <w:r>
              <w:rPr>
                <w:rFonts w:ascii="仿宋_GB2312" w:hAnsi="仿宋_GB2312" w:cs="仿宋_GB2312" w:eastAsia="仿宋_GB2312"/>
              </w:rPr>
              <w:t>(4)</w:t>
            </w:r>
            <w:r>
              <w:rPr>
                <w:rFonts w:ascii="仿宋_GB2312" w:hAnsi="仿宋_GB2312" w:cs="仿宋_GB2312" w:eastAsia="仿宋_GB2312"/>
              </w:rPr>
              <w:t>显示器类型：电容触控</w:t>
            </w:r>
          </w:p>
          <w:p>
            <w:pPr>
              <w:pStyle w:val="null3"/>
              <w:ind w:left="420"/>
              <w:jc w:val="left"/>
            </w:pPr>
            <w:r>
              <w:rPr>
                <w:rFonts w:ascii="仿宋_GB2312" w:hAnsi="仿宋_GB2312" w:cs="仿宋_GB2312" w:eastAsia="仿宋_GB2312"/>
              </w:rPr>
              <w:t>(5)</w:t>
            </w:r>
            <w:r>
              <w:rPr>
                <w:rFonts w:ascii="仿宋_GB2312" w:hAnsi="仿宋_GB2312" w:cs="仿宋_GB2312" w:eastAsia="仿宋_GB2312"/>
              </w:rPr>
              <w:t>屏幕分辨率：</w:t>
            </w:r>
            <w:r>
              <w:rPr>
                <w:rFonts w:ascii="仿宋_GB2312" w:hAnsi="仿宋_GB2312" w:cs="仿宋_GB2312" w:eastAsia="仿宋_GB2312"/>
              </w:rPr>
              <w:t>≥2540LPI</w:t>
            </w:r>
          </w:p>
          <w:p>
            <w:pPr>
              <w:pStyle w:val="null3"/>
              <w:ind w:left="420"/>
              <w:jc w:val="left"/>
            </w:pPr>
            <w:r>
              <w:rPr>
                <w:rFonts w:ascii="仿宋_GB2312" w:hAnsi="仿宋_GB2312" w:cs="仿宋_GB2312" w:eastAsia="仿宋_GB2312"/>
              </w:rPr>
              <w:t>(6)</w:t>
            </w:r>
            <w:r>
              <w:rPr>
                <w:rFonts w:ascii="仿宋_GB2312" w:hAnsi="仿宋_GB2312" w:cs="仿宋_GB2312" w:eastAsia="仿宋_GB2312"/>
              </w:rPr>
              <w:t>屏幕有效书写区域：</w:t>
            </w:r>
            <w:r>
              <w:rPr>
                <w:rFonts w:ascii="仿宋_GB2312" w:hAnsi="仿宋_GB2312" w:cs="仿宋_GB2312" w:eastAsia="仿宋_GB2312"/>
              </w:rPr>
              <w:t>≥304×228 mm</w:t>
            </w:r>
          </w:p>
          <w:p>
            <w:pPr>
              <w:pStyle w:val="null3"/>
              <w:ind w:left="420"/>
              <w:jc w:val="left"/>
            </w:pPr>
            <w:r>
              <w:rPr>
                <w:rFonts w:ascii="仿宋_GB2312" w:hAnsi="仿宋_GB2312" w:cs="仿宋_GB2312" w:eastAsia="仿宋_GB2312"/>
              </w:rPr>
              <w:t>(7)</w:t>
            </w:r>
            <w:r>
              <w:rPr>
                <w:rFonts w:ascii="仿宋_GB2312" w:hAnsi="仿宋_GB2312" w:cs="仿宋_GB2312" w:eastAsia="仿宋_GB2312"/>
              </w:rPr>
              <w:t>触控方式：笔、手双触控（手指触控）</w:t>
            </w:r>
          </w:p>
          <w:p>
            <w:pPr>
              <w:pStyle w:val="null3"/>
              <w:ind w:left="420"/>
              <w:jc w:val="left"/>
            </w:pPr>
            <w:r>
              <w:rPr>
                <w:rFonts w:ascii="仿宋_GB2312" w:hAnsi="仿宋_GB2312" w:cs="仿宋_GB2312" w:eastAsia="仿宋_GB2312"/>
              </w:rPr>
              <w:t>(8)</w:t>
            </w:r>
            <w:r>
              <w:rPr>
                <w:rFonts w:ascii="仿宋_GB2312" w:hAnsi="仿宋_GB2312" w:cs="仿宋_GB2312" w:eastAsia="仿宋_GB2312"/>
              </w:rPr>
              <w:t>读取速率</w:t>
            </w:r>
            <w:r>
              <w:rPr>
                <w:rFonts w:ascii="仿宋_GB2312" w:hAnsi="仿宋_GB2312" w:cs="仿宋_GB2312" w:eastAsia="仿宋_GB2312"/>
              </w:rPr>
              <w:t>：</w:t>
            </w:r>
            <w:r>
              <w:rPr>
                <w:rFonts w:ascii="仿宋_GB2312" w:hAnsi="仿宋_GB2312" w:cs="仿宋_GB2312" w:eastAsia="仿宋_GB2312"/>
              </w:rPr>
              <w:t>≥200点/秒</w:t>
            </w:r>
          </w:p>
          <w:p>
            <w:pPr>
              <w:pStyle w:val="null3"/>
              <w:ind w:left="420"/>
              <w:jc w:val="left"/>
            </w:pPr>
            <w:r>
              <w:rPr>
                <w:rFonts w:ascii="仿宋_GB2312" w:hAnsi="仿宋_GB2312" w:cs="仿宋_GB2312" w:eastAsia="仿宋_GB2312"/>
              </w:rPr>
              <w:t>(9)</w:t>
            </w:r>
            <w:r>
              <w:rPr>
                <w:rFonts w:ascii="仿宋_GB2312" w:hAnsi="仿宋_GB2312" w:cs="仿宋_GB2312" w:eastAsia="仿宋_GB2312"/>
              </w:rPr>
              <w:t>书写精度：屏幕中心</w:t>
            </w:r>
            <w:r>
              <w:rPr>
                <w:rFonts w:ascii="仿宋_GB2312" w:hAnsi="仿宋_GB2312" w:cs="仿宋_GB2312" w:eastAsia="仿宋_GB2312"/>
              </w:rPr>
              <w:t>±0.5mm，边角±2mm</w:t>
            </w:r>
          </w:p>
          <w:p>
            <w:pPr>
              <w:pStyle w:val="null3"/>
              <w:ind w:left="420"/>
              <w:jc w:val="left"/>
            </w:pPr>
            <w:r>
              <w:rPr>
                <w:rFonts w:ascii="仿宋_GB2312" w:hAnsi="仿宋_GB2312" w:cs="仿宋_GB2312" w:eastAsia="仿宋_GB2312"/>
              </w:rPr>
              <w:t>(10)</w:t>
            </w:r>
            <w:r>
              <w:rPr>
                <w:rFonts w:ascii="仿宋_GB2312" w:hAnsi="仿宋_GB2312" w:cs="仿宋_GB2312" w:eastAsia="仿宋_GB2312"/>
              </w:rPr>
              <w:t>显示器：</w:t>
            </w:r>
            <w:r>
              <w:rPr>
                <w:rFonts w:ascii="仿宋_GB2312" w:hAnsi="仿宋_GB2312" w:cs="仿宋_GB2312" w:eastAsia="仿宋_GB2312"/>
              </w:rPr>
              <w:t>≥15英寸，≥1024×768分辨率</w:t>
            </w:r>
          </w:p>
          <w:p>
            <w:pPr>
              <w:pStyle w:val="null3"/>
              <w:ind w:left="420"/>
              <w:jc w:val="left"/>
            </w:pPr>
            <w:r>
              <w:rPr>
                <w:rFonts w:ascii="仿宋_GB2312" w:hAnsi="仿宋_GB2312" w:cs="仿宋_GB2312" w:eastAsia="仿宋_GB2312"/>
              </w:rPr>
              <w:t>(11)</w:t>
            </w:r>
            <w:r>
              <w:rPr>
                <w:rFonts w:ascii="仿宋_GB2312" w:hAnsi="仿宋_GB2312" w:cs="仿宋_GB2312" w:eastAsia="仿宋_GB2312"/>
              </w:rPr>
              <w:t>台车包含：台面、键盘托、设备托、底盘、脚轮等便于操作及移动。</w:t>
            </w:r>
          </w:p>
          <w:p>
            <w:pPr>
              <w:pStyle w:val="null3"/>
              <w:jc w:val="left"/>
            </w:pPr>
            <w:r>
              <w:rPr>
                <w:rFonts w:ascii="仿宋_GB2312" w:hAnsi="仿宋_GB2312" w:cs="仿宋_GB2312" w:eastAsia="仿宋_GB2312"/>
                <w:b/>
              </w:rPr>
              <w:t>2、</w:t>
            </w:r>
            <w:r>
              <w:rPr>
                <w:rFonts w:ascii="仿宋_GB2312" w:hAnsi="仿宋_GB2312" w:cs="仿宋_GB2312" w:eastAsia="仿宋_GB2312"/>
                <w:b/>
              </w:rPr>
              <w:t>移动终端（</w:t>
            </w:r>
            <w:r>
              <w:rPr>
                <w:rFonts w:ascii="仿宋_GB2312" w:hAnsi="仿宋_GB2312" w:cs="仿宋_GB2312" w:eastAsia="仿宋_GB2312"/>
                <w:b/>
              </w:rPr>
              <w:t>45台）</w:t>
            </w:r>
          </w:p>
          <w:p>
            <w:pPr>
              <w:pStyle w:val="null3"/>
              <w:jc w:val="left"/>
            </w:pPr>
            <w:r>
              <w:rPr>
                <w:rFonts w:ascii="仿宋_GB2312" w:hAnsi="仿宋_GB2312" w:cs="仿宋_GB2312" w:eastAsia="仿宋_GB2312"/>
              </w:rPr>
              <w:t>（</w:t>
            </w:r>
            <w:r>
              <w:rPr>
                <w:rFonts w:ascii="仿宋_GB2312" w:hAnsi="仿宋_GB2312" w:cs="仿宋_GB2312" w:eastAsia="仿宋_GB2312"/>
              </w:rPr>
              <w:t>1）平板配置：运行内存≥6G,内存容量≥128GB，屏幕尺寸≥10英寸，分辨率≥1920*1200，多点触控，支持5G、WIFI双网络连接，搭载主流操作系统；CPU配置不低于八核2.0GHz及以上规格，配套专用手写笔、适配移动护理临床场景，支持公用网络环境下的内网专</w:t>
            </w:r>
            <w:r>
              <w:rPr>
                <w:rFonts w:ascii="仿宋_GB2312" w:hAnsi="仿宋_GB2312" w:cs="仿宋_GB2312" w:eastAsia="仿宋_GB2312"/>
              </w:rPr>
              <w:t>属安全访问。</w:t>
            </w:r>
          </w:p>
          <w:p>
            <w:pPr>
              <w:pStyle w:val="null3"/>
              <w:jc w:val="left"/>
            </w:pPr>
            <w:r>
              <w:rPr>
                <w:rFonts w:ascii="仿宋_GB2312" w:hAnsi="仿宋_GB2312" w:cs="仿宋_GB2312" w:eastAsia="仿宋_GB2312"/>
              </w:rPr>
              <w:t>（</w:t>
            </w:r>
            <w:r>
              <w:rPr>
                <w:rFonts w:ascii="仿宋_GB2312" w:hAnsi="仿宋_GB2312" w:cs="仿宋_GB2312" w:eastAsia="仿宋_GB2312"/>
              </w:rPr>
              <w:t>2）场景适配：支持在公用网络环境下实现内网专属安全访问，通过加密传输、身份认证、访问权限控制等技术，保障系统在移动办公、外出评估等场景下的数据传输安全与存储安全，防止数据泄露、篡改、非法访问等。</w:t>
            </w:r>
          </w:p>
          <w:p>
            <w:pPr>
              <w:pStyle w:val="null3"/>
              <w:jc w:val="left"/>
            </w:pPr>
            <w:r>
              <w:rPr>
                <w:rFonts w:ascii="仿宋_GB2312" w:hAnsi="仿宋_GB2312" w:cs="仿宋_GB2312" w:eastAsia="仿宋_GB2312"/>
                <w:b/>
              </w:rPr>
              <w:t>3、打印机（2台）</w:t>
            </w:r>
          </w:p>
          <w:p>
            <w:pPr>
              <w:pStyle w:val="null3"/>
              <w:ind w:left="420"/>
              <w:jc w:val="left"/>
            </w:pPr>
            <w:r>
              <w:rPr>
                <w:rFonts w:ascii="仿宋_GB2312" w:hAnsi="仿宋_GB2312" w:cs="仿宋_GB2312" w:eastAsia="仿宋_GB2312"/>
              </w:rPr>
              <w:t>(1)</w:t>
            </w:r>
            <w:r>
              <w:rPr>
                <w:rFonts w:ascii="仿宋_GB2312" w:hAnsi="仿宋_GB2312" w:cs="仿宋_GB2312" w:eastAsia="仿宋_GB2312"/>
              </w:rPr>
              <w:t>标配内存：≥64MB。</w:t>
            </w:r>
          </w:p>
          <w:p>
            <w:pPr>
              <w:pStyle w:val="null3"/>
              <w:ind w:left="420"/>
              <w:jc w:val="left"/>
            </w:pPr>
            <w:r>
              <w:rPr>
                <w:rFonts w:ascii="仿宋_GB2312" w:hAnsi="仿宋_GB2312" w:cs="仿宋_GB2312" w:eastAsia="仿宋_GB2312"/>
              </w:rPr>
              <w:t>(2)</w:t>
            </w:r>
            <w:r>
              <w:rPr>
                <w:rFonts w:ascii="仿宋_GB2312" w:hAnsi="仿宋_GB2312" w:cs="仿宋_GB2312" w:eastAsia="仿宋_GB2312"/>
              </w:rPr>
              <w:t>接口类型</w:t>
            </w:r>
            <w:r>
              <w:rPr>
                <w:rFonts w:ascii="仿宋_GB2312" w:hAnsi="仿宋_GB2312" w:cs="仿宋_GB2312" w:eastAsia="仿宋_GB2312"/>
              </w:rPr>
              <w:t>：1个高速USB ，2.0端口。</w:t>
            </w:r>
          </w:p>
          <w:p>
            <w:pPr>
              <w:pStyle w:val="null3"/>
              <w:ind w:left="420"/>
              <w:jc w:val="left"/>
            </w:pPr>
            <w:r>
              <w:rPr>
                <w:rFonts w:ascii="仿宋_GB2312" w:hAnsi="仿宋_GB2312" w:cs="仿宋_GB2312" w:eastAsia="仿宋_GB2312"/>
              </w:rPr>
              <w:t>(3)</w:t>
            </w:r>
            <w:r>
              <w:rPr>
                <w:rFonts w:ascii="仿宋_GB2312" w:hAnsi="仿宋_GB2312" w:cs="仿宋_GB2312" w:eastAsia="仿宋_GB2312"/>
              </w:rPr>
              <w:t>纸张容量</w:t>
            </w:r>
            <w:r>
              <w:rPr>
                <w:rFonts w:ascii="仿宋_GB2312" w:hAnsi="仿宋_GB2312" w:cs="仿宋_GB2312" w:eastAsia="仿宋_GB2312"/>
              </w:rPr>
              <w:t>：输入、输出＞50页。</w:t>
            </w:r>
          </w:p>
          <w:p>
            <w:pPr>
              <w:pStyle w:val="null3"/>
              <w:ind w:left="420"/>
              <w:jc w:val="left"/>
            </w:pPr>
            <w:r>
              <w:rPr>
                <w:rFonts w:ascii="仿宋_GB2312" w:hAnsi="仿宋_GB2312" w:cs="仿宋_GB2312" w:eastAsia="仿宋_GB2312"/>
              </w:rPr>
              <w:t>(4)</w:t>
            </w:r>
            <w:r>
              <w:rPr>
                <w:rFonts w:ascii="仿宋_GB2312" w:hAnsi="仿宋_GB2312" w:cs="仿宋_GB2312" w:eastAsia="仿宋_GB2312"/>
              </w:rPr>
              <w:t>适用系统</w:t>
            </w:r>
            <w:r>
              <w:rPr>
                <w:rFonts w:ascii="仿宋_GB2312" w:hAnsi="仿宋_GB2312" w:cs="仿宋_GB2312" w:eastAsia="仿宋_GB2312"/>
              </w:rPr>
              <w:t>：Windows 10/11（32/64位）、macOS Monterey/Ventura/Sonoma等。</w:t>
            </w:r>
          </w:p>
          <w:p>
            <w:pPr>
              <w:pStyle w:val="null3"/>
              <w:jc w:val="left"/>
            </w:pPr>
            <w:r>
              <w:rPr>
                <w:rFonts w:ascii="仿宋_GB2312" w:hAnsi="仿宋_GB2312" w:cs="仿宋_GB2312" w:eastAsia="仿宋_GB2312"/>
                <w:b/>
              </w:rPr>
              <w:t>4、电源要求</w:t>
            </w:r>
          </w:p>
          <w:p>
            <w:pPr>
              <w:pStyle w:val="null3"/>
              <w:jc w:val="left"/>
            </w:pPr>
            <w:r>
              <w:rPr>
                <w:rFonts w:ascii="仿宋_GB2312" w:hAnsi="仿宋_GB2312" w:cs="仿宋_GB2312" w:eastAsia="仿宋_GB2312"/>
              </w:rPr>
              <w:t>220V±10%，50Hz±2%。</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b/>
              </w:rPr>
              <w:t>四、</w:t>
            </w:r>
            <w:r>
              <w:rPr>
                <w:rFonts w:ascii="仿宋_GB2312" w:hAnsi="仿宋_GB2312" w:cs="仿宋_GB2312" w:eastAsia="仿宋_GB2312"/>
                <w:b/>
              </w:rPr>
              <w:t>评估模块</w:t>
            </w:r>
          </w:p>
          <w:p>
            <w:pPr>
              <w:pStyle w:val="null3"/>
              <w:jc w:val="left"/>
            </w:pPr>
            <w:r>
              <w:rPr>
                <w:rFonts w:ascii="仿宋_GB2312" w:hAnsi="仿宋_GB2312" w:cs="仿宋_GB2312" w:eastAsia="仿宋_GB2312"/>
                <w:b/>
              </w:rPr>
              <w:t>1、</w:t>
            </w:r>
            <w:r>
              <w:rPr>
                <w:rFonts w:ascii="仿宋_GB2312" w:hAnsi="仿宋_GB2312" w:cs="仿宋_GB2312" w:eastAsia="仿宋_GB2312"/>
                <w:b/>
              </w:rPr>
              <w:t>评估模式</w:t>
            </w:r>
          </w:p>
          <w:p>
            <w:pPr>
              <w:pStyle w:val="null3"/>
              <w:jc w:val="left"/>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支持双屏、平板、手机等多种评估模式。</w:t>
            </w:r>
          </w:p>
          <w:p>
            <w:pPr>
              <w:pStyle w:val="null3"/>
              <w:jc w:val="left"/>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平板和手机端可添加、编辑患者信息，评估及查看报告等操作；评估数据实时同步到后台管理系统。</w:t>
            </w:r>
          </w:p>
          <w:p>
            <w:pPr>
              <w:pStyle w:val="null3"/>
              <w:jc w:val="left"/>
            </w:pPr>
            <w:r>
              <w:rPr>
                <w:rFonts w:ascii="仿宋_GB2312" w:hAnsi="仿宋_GB2312" w:cs="仿宋_GB2312" w:eastAsia="仿宋_GB2312"/>
                <w:b/>
              </w:rPr>
              <w:t>2、医生端</w:t>
            </w:r>
          </w:p>
          <w:p>
            <w:pPr>
              <w:pStyle w:val="null3"/>
              <w:jc w:val="left"/>
            </w:pPr>
            <w:r>
              <w:rPr>
                <w:rFonts w:ascii="仿宋_GB2312" w:hAnsi="仿宋_GB2312" w:cs="仿宋_GB2312" w:eastAsia="仿宋_GB2312"/>
                <w:b/>
              </w:rPr>
              <w:t>（</w:t>
            </w:r>
            <w:r>
              <w:rPr>
                <w:rFonts w:ascii="仿宋_GB2312" w:hAnsi="仿宋_GB2312" w:cs="仿宋_GB2312" w:eastAsia="仿宋_GB2312"/>
                <w:b/>
              </w:rPr>
              <w:t>1）套餐设置</w:t>
            </w:r>
          </w:p>
          <w:p>
            <w:pPr>
              <w:pStyle w:val="null3"/>
              <w:jc w:val="left"/>
            </w:pPr>
            <w:r>
              <w:rPr>
                <w:rFonts w:ascii="仿宋_GB2312" w:hAnsi="仿宋_GB2312" w:cs="仿宋_GB2312" w:eastAsia="仿宋_GB2312"/>
              </w:rPr>
              <w:t>评估师可根据临床诊疗要求自主设定评估量表套餐，简化测评流程，提升评估工作效率。</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管理权限</w:t>
            </w:r>
          </w:p>
          <w:p>
            <w:pPr>
              <w:pStyle w:val="null3"/>
              <w:jc w:val="left"/>
            </w:pPr>
            <w:r>
              <w:rPr>
                <w:rFonts w:ascii="仿宋_GB2312" w:hAnsi="仿宋_GB2312" w:cs="仿宋_GB2312" w:eastAsia="仿宋_GB2312"/>
              </w:rPr>
              <w:t>总管理员可根据工作需要设置多个管理员账号，并为不同管理员分配差异化操作权限。</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查询功能</w:t>
            </w:r>
          </w:p>
          <w:p>
            <w:pPr>
              <w:pStyle w:val="null3"/>
              <w:jc w:val="left"/>
            </w:pPr>
            <w:r>
              <w:rPr>
                <w:rFonts w:ascii="仿宋_GB2312" w:hAnsi="仿宋_GB2312" w:cs="仿宋_GB2312" w:eastAsia="仿宋_GB2312"/>
              </w:rPr>
              <w:t>系统支持多条件模糊查询模式：可按分级管理定义的级别快速查询，也可按当日、本周、本月、本年、姓名、科室、评估类型等条件快速检索评估数据。</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报告编辑</w:t>
            </w:r>
          </w:p>
          <w:p>
            <w:pPr>
              <w:pStyle w:val="null3"/>
              <w:jc w:val="left"/>
            </w:pPr>
            <w:r>
              <w:rPr>
                <w:rFonts w:ascii="仿宋_GB2312" w:hAnsi="仿宋_GB2312" w:cs="仿宋_GB2312" w:eastAsia="仿宋_GB2312"/>
              </w:rPr>
              <w:t>支持手动修改测试报告，修改后的内容自动同步保存到系统数据库中，留痕可追溯。</w:t>
            </w:r>
          </w:p>
          <w:p>
            <w:pPr>
              <w:pStyle w:val="null3"/>
              <w:jc w:val="left"/>
            </w:pPr>
            <w:r>
              <w:rPr>
                <w:rFonts w:ascii="仿宋_GB2312" w:hAnsi="仿宋_GB2312" w:cs="仿宋_GB2312" w:eastAsia="仿宋_GB2312"/>
                <w:b/>
              </w:rPr>
              <w:t>（</w:t>
            </w:r>
            <w:r>
              <w:rPr>
                <w:rFonts w:ascii="仿宋_GB2312" w:hAnsi="仿宋_GB2312" w:cs="仿宋_GB2312" w:eastAsia="仿宋_GB2312"/>
                <w:b/>
              </w:rPr>
              <w:t>5）</w:t>
            </w:r>
            <w:r>
              <w:rPr>
                <w:rFonts w:ascii="仿宋_GB2312" w:hAnsi="仿宋_GB2312" w:cs="仿宋_GB2312" w:eastAsia="仿宋_GB2312"/>
                <w:b/>
              </w:rPr>
              <w:t>后台管理</w:t>
            </w:r>
          </w:p>
          <w:p>
            <w:pPr>
              <w:pStyle w:val="null3"/>
              <w:jc w:val="left"/>
            </w:pPr>
            <w:r>
              <w:rPr>
                <w:rFonts w:ascii="仿宋_GB2312" w:hAnsi="仿宋_GB2312" w:cs="仿宋_GB2312" w:eastAsia="仿宋_GB2312"/>
              </w:rPr>
              <w:t>支持医院不同科室架构维护，适配医院科室设置及调整需求；系统自动记录不同管理员、评估师的工作量数据，生成多维度统计报表，为医院绩效考核提供依据。</w:t>
            </w:r>
          </w:p>
          <w:p>
            <w:pPr>
              <w:pStyle w:val="null3"/>
              <w:jc w:val="left"/>
            </w:pPr>
            <w:r>
              <w:rPr>
                <w:rFonts w:ascii="仿宋_GB2312" w:hAnsi="仿宋_GB2312" w:cs="仿宋_GB2312" w:eastAsia="仿宋_GB2312"/>
                <w:b/>
              </w:rPr>
              <w:t>（</w:t>
            </w:r>
            <w:r>
              <w:rPr>
                <w:rFonts w:ascii="仿宋_GB2312" w:hAnsi="仿宋_GB2312" w:cs="仿宋_GB2312" w:eastAsia="仿宋_GB2312"/>
                <w:b/>
              </w:rPr>
              <w:t>6）</w:t>
            </w:r>
            <w:r>
              <w:rPr>
                <w:rFonts w:ascii="仿宋_GB2312" w:hAnsi="仿宋_GB2312" w:cs="仿宋_GB2312" w:eastAsia="仿宋_GB2312"/>
                <w:b/>
              </w:rPr>
              <w:t>电子签名</w:t>
            </w:r>
          </w:p>
          <w:p>
            <w:pPr>
              <w:pStyle w:val="null3"/>
              <w:jc w:val="left"/>
            </w:pPr>
            <w:r>
              <w:rPr>
                <w:rFonts w:ascii="仿宋_GB2312" w:hAnsi="仿宋_GB2312" w:cs="仿宋_GB2312" w:eastAsia="仿宋_GB2312"/>
              </w:rPr>
              <w:t>支持测试报告与</w:t>
            </w:r>
            <w:r>
              <w:rPr>
                <w:rFonts w:ascii="仿宋_GB2312" w:hAnsi="仿宋_GB2312" w:cs="仿宋_GB2312" w:eastAsia="仿宋_GB2312"/>
              </w:rPr>
              <w:t>CA认证系统对接，实现合法有效的电子签名，可设置报告自动签名功能，提升报告出具效率。</w:t>
            </w:r>
          </w:p>
          <w:p>
            <w:pPr>
              <w:pStyle w:val="null3"/>
              <w:jc w:val="left"/>
            </w:pPr>
            <w:r>
              <w:rPr>
                <w:rFonts w:ascii="仿宋_GB2312" w:hAnsi="仿宋_GB2312" w:cs="仿宋_GB2312" w:eastAsia="仿宋_GB2312"/>
                <w:b/>
              </w:rPr>
              <w:t>（</w:t>
            </w:r>
            <w:r>
              <w:rPr>
                <w:rFonts w:ascii="仿宋_GB2312" w:hAnsi="仿宋_GB2312" w:cs="仿宋_GB2312" w:eastAsia="仿宋_GB2312"/>
                <w:b/>
              </w:rPr>
              <w:t>7）</w:t>
            </w:r>
            <w:r>
              <w:rPr>
                <w:rFonts w:ascii="仿宋_GB2312" w:hAnsi="仿宋_GB2312" w:cs="仿宋_GB2312" w:eastAsia="仿宋_GB2312"/>
                <w:b/>
              </w:rPr>
              <w:t>量表配置</w:t>
            </w:r>
          </w:p>
          <w:p>
            <w:pPr>
              <w:pStyle w:val="null3"/>
              <w:jc w:val="left"/>
            </w:pPr>
            <w:r>
              <w:rPr>
                <w:rFonts w:ascii="仿宋_GB2312" w:hAnsi="仿宋_GB2312" w:cs="仿宋_GB2312" w:eastAsia="仿宋_GB2312"/>
              </w:rPr>
              <w:t>可根据采购人临床、科研需求，灵活配置医学量表和医学模型，实现量表及模型的及时、准确、动态更新，提供信息资源的共享和传递。</w:t>
            </w:r>
          </w:p>
          <w:p>
            <w:pPr>
              <w:pStyle w:val="null3"/>
              <w:jc w:val="left"/>
            </w:pPr>
            <w:r>
              <w:rPr>
                <w:rFonts w:ascii="仿宋_GB2312" w:hAnsi="仿宋_GB2312" w:cs="仿宋_GB2312" w:eastAsia="仿宋_GB2312"/>
                <w:b/>
              </w:rPr>
              <w:t>（</w:t>
            </w:r>
            <w:r>
              <w:rPr>
                <w:rFonts w:ascii="仿宋_GB2312" w:hAnsi="仿宋_GB2312" w:cs="仿宋_GB2312" w:eastAsia="仿宋_GB2312"/>
                <w:b/>
              </w:rPr>
              <w:t>8）</w:t>
            </w:r>
            <w:r>
              <w:rPr>
                <w:rFonts w:ascii="仿宋_GB2312" w:hAnsi="仿宋_GB2312" w:cs="仿宋_GB2312" w:eastAsia="仿宋_GB2312"/>
                <w:b/>
              </w:rPr>
              <w:t>数据管理</w:t>
            </w:r>
          </w:p>
          <w:p>
            <w:pPr>
              <w:pStyle w:val="null3"/>
              <w:jc w:val="left"/>
            </w:pPr>
            <w:r>
              <w:rPr>
                <w:rFonts w:ascii="仿宋_GB2312" w:hAnsi="仿宋_GB2312" w:cs="仿宋_GB2312" w:eastAsia="仿宋_GB2312"/>
              </w:rPr>
              <w:t>支持对评估数批量导出数据资料，满足医疗教学及科研使用需求，严格保障患者隐私。</w:t>
            </w:r>
          </w:p>
          <w:p>
            <w:pPr>
              <w:pStyle w:val="null3"/>
              <w:jc w:val="left"/>
            </w:pPr>
            <w:r>
              <w:rPr>
                <w:rFonts w:ascii="仿宋_GB2312" w:hAnsi="仿宋_GB2312" w:cs="仿宋_GB2312" w:eastAsia="仿宋_GB2312"/>
                <w:b/>
              </w:rPr>
              <w:t>（</w:t>
            </w:r>
            <w:r>
              <w:rPr>
                <w:rFonts w:ascii="仿宋_GB2312" w:hAnsi="仿宋_GB2312" w:cs="仿宋_GB2312" w:eastAsia="仿宋_GB2312"/>
                <w:b/>
              </w:rPr>
              <w:t>9）</w:t>
            </w:r>
            <w:r>
              <w:rPr>
                <w:rFonts w:ascii="仿宋_GB2312" w:hAnsi="仿宋_GB2312" w:cs="仿宋_GB2312" w:eastAsia="仿宋_GB2312"/>
                <w:b/>
              </w:rPr>
              <w:t>心理健康筛查系统</w:t>
            </w:r>
          </w:p>
          <w:p>
            <w:pPr>
              <w:pStyle w:val="null3"/>
              <w:jc w:val="left"/>
            </w:pPr>
            <w:r>
              <w:rPr>
                <w:rFonts w:ascii="仿宋_GB2312" w:hAnsi="仿宋_GB2312" w:cs="仿宋_GB2312" w:eastAsia="仿宋_GB2312"/>
              </w:rPr>
              <w:t>支持手机扫码测评，操作便捷；心理健康筛查报告包含个检报告和团检报告，满足不同筛查需求。</w:t>
            </w:r>
          </w:p>
          <w:p>
            <w:pPr>
              <w:pStyle w:val="null3"/>
              <w:jc w:val="left"/>
            </w:pPr>
            <w:r>
              <w:rPr>
                <w:rFonts w:ascii="仿宋_GB2312" w:hAnsi="仿宋_GB2312" w:cs="仿宋_GB2312" w:eastAsia="仿宋_GB2312"/>
                <w:b/>
              </w:rPr>
              <w:t>（</w:t>
            </w:r>
            <w:r>
              <w:rPr>
                <w:rFonts w:ascii="仿宋_GB2312" w:hAnsi="仿宋_GB2312" w:cs="仿宋_GB2312" w:eastAsia="仿宋_GB2312"/>
                <w:b/>
              </w:rPr>
              <w:t>10）</w:t>
            </w:r>
            <w:r>
              <w:rPr>
                <w:rFonts w:ascii="仿宋_GB2312" w:hAnsi="仿宋_GB2312" w:cs="仿宋_GB2312" w:eastAsia="仿宋_GB2312"/>
                <w:b/>
              </w:rPr>
              <w:t>躯体化报告</w:t>
            </w:r>
          </w:p>
          <w:p>
            <w:pPr>
              <w:pStyle w:val="null3"/>
              <w:jc w:val="left"/>
            </w:pPr>
            <w:r>
              <w:rPr>
                <w:rFonts w:ascii="仿宋_GB2312" w:hAnsi="仿宋_GB2312" w:cs="仿宋_GB2312" w:eastAsia="仿宋_GB2312"/>
              </w:rPr>
              <w:t>包含患者症状总数量，按躯体症状、焦虑症状、抑郁症状分类统计，同时展示治疗过程中患者的量表分值及症状前后对比数据，为诊疗提供数据支撑。</w:t>
            </w:r>
          </w:p>
          <w:p>
            <w:pPr>
              <w:pStyle w:val="null3"/>
              <w:jc w:val="left"/>
            </w:pPr>
            <w:r>
              <w:rPr>
                <w:rFonts w:ascii="仿宋_GB2312" w:hAnsi="仿宋_GB2312" w:cs="仿宋_GB2312" w:eastAsia="仿宋_GB2312"/>
                <w:b/>
              </w:rPr>
              <w:t>（</w:t>
            </w:r>
            <w:r>
              <w:rPr>
                <w:rFonts w:ascii="仿宋_GB2312" w:hAnsi="仿宋_GB2312" w:cs="仿宋_GB2312" w:eastAsia="仿宋_GB2312"/>
                <w:b/>
              </w:rPr>
              <w:t>11）</w:t>
            </w:r>
            <w:r>
              <w:rPr>
                <w:rFonts w:ascii="仿宋_GB2312" w:hAnsi="仿宋_GB2312" w:cs="仿宋_GB2312" w:eastAsia="仿宋_GB2312"/>
                <w:b/>
              </w:rPr>
              <w:t>药品管理</w:t>
            </w:r>
          </w:p>
          <w:p>
            <w:pPr>
              <w:pStyle w:val="null3"/>
              <w:jc w:val="left"/>
            </w:pPr>
            <w:r>
              <w:rPr>
                <w:rFonts w:ascii="仿宋_GB2312" w:hAnsi="仿宋_GB2312" w:cs="仿宋_GB2312" w:eastAsia="仿宋_GB2312"/>
              </w:rPr>
              <w:t>包含药品管理专属功能，支持根据医院现有药物品类，对系统药物库进行添加、修改、删除等操作，实现药物库与医院临床用药同步更新。</w:t>
            </w:r>
          </w:p>
          <w:p>
            <w:pPr>
              <w:pStyle w:val="null3"/>
              <w:jc w:val="left"/>
            </w:pPr>
            <w:r>
              <w:rPr>
                <w:rFonts w:ascii="仿宋_GB2312" w:hAnsi="仿宋_GB2312" w:cs="仿宋_GB2312" w:eastAsia="仿宋_GB2312"/>
                <w:b/>
              </w:rPr>
              <w:t>（</w:t>
            </w:r>
            <w:r>
              <w:rPr>
                <w:rFonts w:ascii="仿宋_GB2312" w:hAnsi="仿宋_GB2312" w:cs="仿宋_GB2312" w:eastAsia="仿宋_GB2312"/>
                <w:b/>
              </w:rPr>
              <w:t>12）</w:t>
            </w:r>
            <w:r>
              <w:rPr>
                <w:rFonts w:ascii="仿宋_GB2312" w:hAnsi="仿宋_GB2312" w:cs="仿宋_GB2312" w:eastAsia="仿宋_GB2312"/>
                <w:b/>
              </w:rPr>
              <w:t>综合评估</w:t>
            </w:r>
          </w:p>
          <w:p>
            <w:pPr>
              <w:pStyle w:val="null3"/>
              <w:jc w:val="left"/>
            </w:pPr>
            <w:r>
              <w:rPr>
                <w:rFonts w:ascii="仿宋_GB2312" w:hAnsi="仿宋_GB2312" w:cs="仿宋_GB2312" w:eastAsia="仿宋_GB2312"/>
              </w:rPr>
              <w:t>综合评估包含但不限于快速筛查评估、标准化评估、围术期评估、一般医学评估、躯体功能评估、老年综合征评估、器官功能评估、社会支持评估等等。</w:t>
            </w:r>
          </w:p>
          <w:p>
            <w:pPr>
              <w:pStyle w:val="null3"/>
              <w:jc w:val="left"/>
            </w:pPr>
            <w:r>
              <w:rPr>
                <w:rFonts w:ascii="仿宋_GB2312" w:hAnsi="仿宋_GB2312" w:cs="仿宋_GB2312" w:eastAsia="仿宋_GB2312"/>
                <w:b/>
              </w:rPr>
              <w:t>（</w:t>
            </w:r>
            <w:r>
              <w:rPr>
                <w:rFonts w:ascii="仿宋_GB2312" w:hAnsi="仿宋_GB2312" w:cs="仿宋_GB2312" w:eastAsia="仿宋_GB2312"/>
                <w:b/>
              </w:rPr>
              <w:t>13）</w:t>
            </w:r>
            <w:r>
              <w:rPr>
                <w:rFonts w:ascii="仿宋_GB2312" w:hAnsi="仿宋_GB2312" w:cs="仿宋_GB2312" w:eastAsia="仿宋_GB2312"/>
                <w:b/>
              </w:rPr>
              <w:t>综合评估报告</w:t>
            </w:r>
          </w:p>
          <w:p>
            <w:pPr>
              <w:pStyle w:val="null3"/>
              <w:jc w:val="left"/>
            </w:pPr>
            <w:r>
              <w:rPr>
                <w:rFonts w:ascii="仿宋_GB2312" w:hAnsi="仿宋_GB2312" w:cs="仿宋_GB2312" w:eastAsia="仿宋_GB2312"/>
              </w:rPr>
              <w:t>综合评估报告包含但不限于封面、阅读指南、基础资料、评估结论、结果分析、参考建议等内容，支持自主选择打印内容。</w:t>
            </w:r>
          </w:p>
          <w:p>
            <w:pPr>
              <w:pStyle w:val="null3"/>
              <w:jc w:val="left"/>
            </w:pPr>
            <w:r>
              <w:rPr>
                <w:rFonts w:ascii="仿宋_GB2312" w:hAnsi="仿宋_GB2312" w:cs="仿宋_GB2312" w:eastAsia="仿宋_GB2312"/>
                <w:b/>
              </w:rPr>
              <w:t>（</w:t>
            </w:r>
            <w:r>
              <w:rPr>
                <w:rFonts w:ascii="仿宋_GB2312" w:hAnsi="仿宋_GB2312" w:cs="仿宋_GB2312" w:eastAsia="仿宋_GB2312"/>
                <w:b/>
              </w:rPr>
              <w:t>14）</w:t>
            </w:r>
            <w:r>
              <w:rPr>
                <w:rFonts w:ascii="仿宋_GB2312" w:hAnsi="仿宋_GB2312" w:cs="仿宋_GB2312" w:eastAsia="仿宋_GB2312"/>
                <w:b/>
              </w:rPr>
              <w:t>导读选项</w:t>
            </w:r>
          </w:p>
          <w:p>
            <w:pPr>
              <w:pStyle w:val="null3"/>
              <w:jc w:val="left"/>
            </w:pPr>
            <w:r>
              <w:rPr>
                <w:rFonts w:ascii="仿宋_GB2312" w:hAnsi="仿宋_GB2312" w:cs="仿宋_GB2312" w:eastAsia="仿宋_GB2312"/>
              </w:rPr>
              <w:t>语音导读功能可根据被试者情况，实时调节导读语音音量，支持重复导读、取消导读等操作。</w:t>
            </w:r>
          </w:p>
          <w:p>
            <w:pPr>
              <w:pStyle w:val="null3"/>
              <w:jc w:val="left"/>
            </w:pPr>
            <w:r>
              <w:rPr>
                <w:rFonts w:ascii="仿宋_GB2312" w:hAnsi="仿宋_GB2312" w:cs="仿宋_GB2312" w:eastAsia="仿宋_GB2312"/>
                <w:b/>
              </w:rPr>
              <w:t>（</w:t>
            </w:r>
            <w:r>
              <w:rPr>
                <w:rFonts w:ascii="仿宋_GB2312" w:hAnsi="仿宋_GB2312" w:cs="仿宋_GB2312" w:eastAsia="仿宋_GB2312"/>
                <w:b/>
              </w:rPr>
              <w:t>15）</w:t>
            </w:r>
            <w:r>
              <w:rPr>
                <w:rFonts w:ascii="仿宋_GB2312" w:hAnsi="仿宋_GB2312" w:cs="仿宋_GB2312" w:eastAsia="仿宋_GB2312"/>
                <w:b/>
              </w:rPr>
              <w:t>数据统计</w:t>
            </w:r>
          </w:p>
          <w:p>
            <w:pPr>
              <w:pStyle w:val="null3"/>
              <w:jc w:val="left"/>
            </w:pPr>
            <w:r>
              <w:rPr>
                <w:rFonts w:ascii="仿宋_GB2312" w:hAnsi="仿宋_GB2312" w:cs="仿宋_GB2312" w:eastAsia="仿宋_GB2312"/>
              </w:rPr>
              <w:t>可分别记录测试前期、中期及后期被试者说出的词语数量，实现精细化数据统计。</w:t>
            </w:r>
          </w:p>
          <w:p>
            <w:pPr>
              <w:pStyle w:val="null3"/>
              <w:jc w:val="left"/>
            </w:pPr>
            <w:r>
              <w:rPr>
                <w:rFonts w:ascii="仿宋_GB2312" w:hAnsi="仿宋_GB2312" w:cs="仿宋_GB2312" w:eastAsia="仿宋_GB2312"/>
                <w:b/>
              </w:rPr>
              <w:t>（</w:t>
            </w:r>
            <w:r>
              <w:rPr>
                <w:rFonts w:ascii="仿宋_GB2312" w:hAnsi="仿宋_GB2312" w:cs="仿宋_GB2312" w:eastAsia="仿宋_GB2312"/>
                <w:b/>
              </w:rPr>
              <w:t>16）</w:t>
            </w:r>
            <w:r>
              <w:rPr>
                <w:rFonts w:ascii="仿宋_GB2312" w:hAnsi="仿宋_GB2312" w:cs="仿宋_GB2312" w:eastAsia="仿宋_GB2312"/>
                <w:b/>
              </w:rPr>
              <w:t>笔画记录</w:t>
            </w:r>
          </w:p>
          <w:p>
            <w:pPr>
              <w:pStyle w:val="null3"/>
              <w:jc w:val="left"/>
            </w:pPr>
            <w:r>
              <w:rPr>
                <w:rFonts w:ascii="仿宋_GB2312" w:hAnsi="仿宋_GB2312" w:cs="仿宋_GB2312" w:eastAsia="仿宋_GB2312"/>
              </w:rPr>
              <w:t>支持手写及笔写输入，智能记录立方体、复杂图形等临摹的笔画顺序，还原测试过程。</w:t>
            </w:r>
          </w:p>
          <w:p>
            <w:pPr>
              <w:pStyle w:val="null3"/>
              <w:jc w:val="left"/>
            </w:pPr>
            <w:r>
              <w:rPr>
                <w:rFonts w:ascii="仿宋_GB2312" w:hAnsi="仿宋_GB2312" w:cs="仿宋_GB2312" w:eastAsia="仿宋_GB2312"/>
                <w:b/>
              </w:rPr>
              <w:t>（</w:t>
            </w:r>
            <w:r>
              <w:rPr>
                <w:rFonts w:ascii="仿宋_GB2312" w:hAnsi="仿宋_GB2312" w:cs="仿宋_GB2312" w:eastAsia="仿宋_GB2312"/>
                <w:b/>
              </w:rPr>
              <w:t>17）</w:t>
            </w:r>
            <w:r>
              <w:rPr>
                <w:rFonts w:ascii="仿宋_GB2312" w:hAnsi="仿宋_GB2312" w:cs="仿宋_GB2312" w:eastAsia="仿宋_GB2312"/>
                <w:b/>
              </w:rPr>
              <w:t>数字划销</w:t>
            </w:r>
          </w:p>
          <w:p>
            <w:pPr>
              <w:pStyle w:val="null3"/>
              <w:jc w:val="left"/>
            </w:pPr>
            <w:r>
              <w:rPr>
                <w:rFonts w:ascii="仿宋_GB2312" w:hAnsi="仿宋_GB2312" w:cs="仿宋_GB2312" w:eastAsia="仿宋_GB2312"/>
              </w:rPr>
              <w:t>测试结果自动统计靶数字总数、错划数、漏划数及划销指数，生成量化数据。</w:t>
            </w:r>
          </w:p>
          <w:p>
            <w:pPr>
              <w:pStyle w:val="null3"/>
              <w:jc w:val="left"/>
            </w:pPr>
            <w:r>
              <w:rPr>
                <w:rFonts w:ascii="仿宋_GB2312" w:hAnsi="仿宋_GB2312" w:cs="仿宋_GB2312" w:eastAsia="仿宋_GB2312"/>
                <w:b/>
              </w:rPr>
              <w:t>（</w:t>
            </w:r>
            <w:r>
              <w:rPr>
                <w:rFonts w:ascii="仿宋_GB2312" w:hAnsi="仿宋_GB2312" w:cs="仿宋_GB2312" w:eastAsia="仿宋_GB2312"/>
                <w:b/>
              </w:rPr>
              <w:t>18）</w:t>
            </w:r>
            <w:r>
              <w:rPr>
                <w:rFonts w:ascii="仿宋_GB2312" w:hAnsi="仿宋_GB2312" w:cs="仿宋_GB2312" w:eastAsia="仿宋_GB2312"/>
                <w:b/>
              </w:rPr>
              <w:t>提醒功能</w:t>
            </w:r>
          </w:p>
          <w:p>
            <w:pPr>
              <w:pStyle w:val="null3"/>
              <w:jc w:val="left"/>
            </w:pPr>
            <w:r>
              <w:rPr>
                <w:rFonts w:ascii="仿宋_GB2312" w:hAnsi="仿宋_GB2312" w:cs="仿宋_GB2312" w:eastAsia="仿宋_GB2312"/>
              </w:rPr>
              <w:t>系统可在预设延迟时间到达后，自动提醒评估师开展后续测试环节，保障测试规范性。</w:t>
            </w:r>
          </w:p>
          <w:p>
            <w:pPr>
              <w:pStyle w:val="null3"/>
              <w:jc w:val="left"/>
            </w:pPr>
            <w:r>
              <w:rPr>
                <w:rFonts w:ascii="仿宋_GB2312" w:hAnsi="仿宋_GB2312" w:cs="仿宋_GB2312" w:eastAsia="仿宋_GB2312"/>
                <w:b/>
              </w:rPr>
              <w:t>（</w:t>
            </w:r>
            <w:r>
              <w:rPr>
                <w:rFonts w:ascii="仿宋_GB2312" w:hAnsi="仿宋_GB2312" w:cs="仿宋_GB2312" w:eastAsia="仿宋_GB2312"/>
                <w:b/>
              </w:rPr>
              <w:t>19）</w:t>
            </w:r>
            <w:r>
              <w:rPr>
                <w:rFonts w:ascii="仿宋_GB2312" w:hAnsi="仿宋_GB2312" w:cs="仿宋_GB2312" w:eastAsia="仿宋_GB2312"/>
                <w:b/>
              </w:rPr>
              <w:t>双心评估</w:t>
            </w:r>
          </w:p>
          <w:p>
            <w:pPr>
              <w:pStyle w:val="null3"/>
              <w:jc w:val="left"/>
            </w:pPr>
            <w:r>
              <w:rPr>
                <w:rFonts w:ascii="仿宋_GB2312" w:hAnsi="仿宋_GB2312" w:cs="仿宋_GB2312" w:eastAsia="仿宋_GB2312"/>
              </w:rPr>
              <w:t>根据双心患者的量表评估结果，系统为临床提供精准的神经递质调节药物选择参考方案、用药调整优化参考方案，以及进入维持期后的减药、停药参考方案。</w:t>
            </w:r>
          </w:p>
          <w:p>
            <w:pPr>
              <w:pStyle w:val="null3"/>
              <w:jc w:val="left"/>
            </w:pPr>
            <w:r>
              <w:rPr>
                <w:rFonts w:ascii="仿宋_GB2312" w:hAnsi="仿宋_GB2312" w:cs="仿宋_GB2312" w:eastAsia="仿宋_GB2312"/>
                <w:b/>
              </w:rPr>
              <w:t>（</w:t>
            </w:r>
            <w:r>
              <w:rPr>
                <w:rFonts w:ascii="仿宋_GB2312" w:hAnsi="仿宋_GB2312" w:cs="仿宋_GB2312" w:eastAsia="仿宋_GB2312"/>
                <w:b/>
              </w:rPr>
              <w:t>20）</w:t>
            </w:r>
            <w:r>
              <w:rPr>
                <w:rFonts w:ascii="仿宋_GB2312" w:hAnsi="仿宋_GB2312" w:cs="仿宋_GB2312" w:eastAsia="仿宋_GB2312"/>
                <w:b/>
              </w:rPr>
              <w:t>消化心身评估</w:t>
            </w:r>
          </w:p>
          <w:p>
            <w:pPr>
              <w:pStyle w:val="null3"/>
              <w:jc w:val="left"/>
            </w:pPr>
            <w:r>
              <w:rPr>
                <w:rFonts w:ascii="仿宋_GB2312" w:hAnsi="仿宋_GB2312" w:cs="仿宋_GB2312" w:eastAsia="仿宋_GB2312"/>
              </w:rPr>
              <w:t>根据功能性胃肠病、功能性消化不良等消化心身患者的量表评估结果，系统为临床提供处置参考方案、处置调整优化参考方案，以及进入维持期后的减药、停药参考方案。</w:t>
            </w:r>
          </w:p>
          <w:p>
            <w:pPr>
              <w:pStyle w:val="null3"/>
              <w:jc w:val="left"/>
            </w:pPr>
            <w:r>
              <w:rPr>
                <w:rFonts w:ascii="仿宋_GB2312" w:hAnsi="仿宋_GB2312" w:cs="仿宋_GB2312" w:eastAsia="仿宋_GB2312"/>
                <w:b/>
              </w:rPr>
              <w:t>3、患者端</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进程显示</w:t>
            </w:r>
          </w:p>
          <w:p>
            <w:pPr>
              <w:pStyle w:val="null3"/>
              <w:jc w:val="left"/>
            </w:pPr>
            <w:r>
              <w:rPr>
                <w:rFonts w:ascii="仿宋_GB2312" w:hAnsi="仿宋_GB2312" w:cs="仿宋_GB2312" w:eastAsia="仿宋_GB2312"/>
              </w:rPr>
              <w:t>系统实时显示每一个测评量表的当前测评进度，便于评估师和管理员把控工作流程。</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流程衔接</w:t>
            </w:r>
          </w:p>
          <w:p>
            <w:pPr>
              <w:pStyle w:val="null3"/>
              <w:jc w:val="left"/>
            </w:pPr>
            <w:r>
              <w:rPr>
                <w:rFonts w:ascii="仿宋_GB2312" w:hAnsi="仿宋_GB2312" w:cs="仿宋_GB2312" w:eastAsia="仿宋_GB2312"/>
              </w:rPr>
              <w:t>当患者完成上一个测试量表时，系统自动跳转至下一个待测试量表，实现测评流程无缝衔接。</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漏答提醒</w:t>
            </w:r>
          </w:p>
          <w:p>
            <w:pPr>
              <w:pStyle w:val="null3"/>
              <w:jc w:val="left"/>
            </w:pPr>
            <w:r>
              <w:rPr>
                <w:rFonts w:ascii="仿宋_GB2312" w:hAnsi="仿宋_GB2312" w:cs="仿宋_GB2312" w:eastAsia="仿宋_GB2312"/>
              </w:rPr>
              <w:t>若量表存在未答题目，在保存测评数据时，系统自动提醒漏答题目数量，避免数据缺失。</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模拟测试</w:t>
            </w:r>
          </w:p>
          <w:p>
            <w:pPr>
              <w:pStyle w:val="null3"/>
              <w:jc w:val="left"/>
            </w:pPr>
            <w:r>
              <w:rPr>
                <w:rFonts w:ascii="仿宋_GB2312" w:hAnsi="仿宋_GB2312" w:cs="仿宋_GB2312" w:eastAsia="仿宋_GB2312"/>
              </w:rPr>
              <w:t>正式测试前的模拟测试阶段，若测试者答错，系统自动提示正确答案，帮助测试者理解测试要求。</w:t>
            </w:r>
          </w:p>
          <w:p>
            <w:pPr>
              <w:pStyle w:val="null3"/>
              <w:jc w:val="left"/>
            </w:pPr>
            <w:r>
              <w:rPr>
                <w:rFonts w:ascii="仿宋_GB2312" w:hAnsi="仿宋_GB2312" w:cs="仿宋_GB2312" w:eastAsia="仿宋_GB2312"/>
                <w:b/>
              </w:rPr>
              <w:t>（</w:t>
            </w:r>
            <w:r>
              <w:rPr>
                <w:rFonts w:ascii="仿宋_GB2312" w:hAnsi="仿宋_GB2312" w:cs="仿宋_GB2312" w:eastAsia="仿宋_GB2312"/>
                <w:b/>
              </w:rPr>
              <w:t>5）</w:t>
            </w:r>
            <w:r>
              <w:rPr>
                <w:rFonts w:ascii="仿宋_GB2312" w:hAnsi="仿宋_GB2312" w:cs="仿宋_GB2312" w:eastAsia="仿宋_GB2312"/>
                <w:b/>
              </w:rPr>
              <w:t>数字广度</w:t>
            </w:r>
          </w:p>
          <w:p>
            <w:pPr>
              <w:pStyle w:val="null3"/>
              <w:jc w:val="left"/>
            </w:pPr>
            <w:r>
              <w:rPr>
                <w:rFonts w:ascii="仿宋_GB2312" w:hAnsi="仿宋_GB2312" w:cs="仿宋_GB2312" w:eastAsia="仿宋_GB2312"/>
              </w:rPr>
              <w:t>在同一测试单元内，若测试者连续答错两次，系统自动跳转到指定测试环节，适配测试者认知水平。</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b/>
              </w:rPr>
              <w:t>五、</w:t>
            </w:r>
            <w:r>
              <w:rPr>
                <w:rFonts w:ascii="仿宋_GB2312" w:hAnsi="仿宋_GB2312" w:cs="仿宋_GB2312" w:eastAsia="仿宋_GB2312"/>
                <w:b/>
              </w:rPr>
              <w:t>训练模块</w:t>
            </w:r>
          </w:p>
          <w:p>
            <w:pPr>
              <w:pStyle w:val="null3"/>
              <w:jc w:val="left"/>
            </w:pPr>
            <w:r>
              <w:rPr>
                <w:rFonts w:ascii="仿宋_GB2312" w:hAnsi="仿宋_GB2312" w:cs="仿宋_GB2312" w:eastAsia="仿宋_GB2312"/>
                <w:b/>
              </w:rPr>
              <w:t>1、</w:t>
            </w:r>
            <w:r>
              <w:rPr>
                <w:rFonts w:ascii="仿宋_GB2312" w:hAnsi="仿宋_GB2312" w:cs="仿宋_GB2312" w:eastAsia="仿宋_GB2312"/>
                <w:b/>
              </w:rPr>
              <w:t>医生端</w:t>
            </w:r>
          </w:p>
          <w:p>
            <w:pPr>
              <w:pStyle w:val="null3"/>
              <w:jc w:val="left"/>
            </w:pPr>
            <w:r>
              <w:rPr>
                <w:rFonts w:ascii="仿宋_GB2312" w:hAnsi="仿宋_GB2312" w:cs="仿宋_GB2312" w:eastAsia="仿宋_GB2312"/>
              </w:rPr>
              <w:t>认知训练分级</w:t>
            </w:r>
            <w:r>
              <w:rPr>
                <w:rFonts w:ascii="仿宋_GB2312" w:hAnsi="仿宋_GB2312" w:cs="仿宋_GB2312" w:eastAsia="仿宋_GB2312"/>
              </w:rPr>
              <w:t>：</w:t>
            </w:r>
            <w:r>
              <w:rPr>
                <w:rFonts w:ascii="仿宋_GB2312" w:hAnsi="仿宋_GB2312" w:cs="仿宋_GB2312" w:eastAsia="仿宋_GB2312"/>
              </w:rPr>
              <w:t>初级、中级、高级三部分，适用于认知功能受损的患者进行相应认知域的训练。</w:t>
            </w:r>
          </w:p>
          <w:p>
            <w:pPr>
              <w:pStyle w:val="null3"/>
              <w:jc w:val="left"/>
            </w:pPr>
            <w:r>
              <w:rPr>
                <w:rFonts w:ascii="仿宋_GB2312" w:hAnsi="仿宋_GB2312" w:cs="仿宋_GB2312" w:eastAsia="仿宋_GB2312"/>
                <w:b/>
              </w:rPr>
              <w:t>2、</w:t>
            </w:r>
            <w:r>
              <w:rPr>
                <w:rFonts w:ascii="仿宋_GB2312" w:hAnsi="仿宋_GB2312" w:cs="仿宋_GB2312" w:eastAsia="仿宋_GB2312"/>
                <w:b/>
              </w:rPr>
              <w:t>患者端</w:t>
            </w:r>
          </w:p>
          <w:p>
            <w:pPr>
              <w:pStyle w:val="null3"/>
              <w:jc w:val="left"/>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定向能力</w:t>
            </w:r>
          </w:p>
          <w:p>
            <w:pPr>
              <w:pStyle w:val="null3"/>
              <w:jc w:val="left"/>
            </w:pPr>
            <w:r>
              <w:rPr>
                <w:rFonts w:ascii="仿宋_GB2312" w:hAnsi="仿宋_GB2312" w:cs="仿宋_GB2312" w:eastAsia="仿宋_GB2312"/>
              </w:rPr>
              <w:t>时间定向、地点定向、人物定向等训练模块。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专注能力</w:t>
            </w:r>
          </w:p>
          <w:p>
            <w:pPr>
              <w:pStyle w:val="null3"/>
              <w:jc w:val="left"/>
            </w:pPr>
            <w:r>
              <w:rPr>
                <w:rFonts w:ascii="仿宋_GB2312" w:hAnsi="仿宋_GB2312" w:cs="仿宋_GB2312" w:eastAsia="仿宋_GB2312"/>
              </w:rPr>
              <w:t>数字专注、顺序专注、接球、连线、综合专注等训练模块。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结构能力</w:t>
            </w:r>
          </w:p>
          <w:p>
            <w:pPr>
              <w:pStyle w:val="null3"/>
              <w:jc w:val="left"/>
            </w:pPr>
            <w:r>
              <w:rPr>
                <w:rFonts w:ascii="仿宋_GB2312" w:hAnsi="仿宋_GB2312" w:cs="仿宋_GB2312" w:eastAsia="仿宋_GB2312"/>
              </w:rPr>
              <w:t>空间理解、空间综合、空间结构训练模块。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4）</w:t>
            </w:r>
            <w:r>
              <w:rPr>
                <w:rFonts w:ascii="仿宋_GB2312" w:hAnsi="仿宋_GB2312" w:cs="仿宋_GB2312" w:eastAsia="仿宋_GB2312"/>
                <w:b/>
              </w:rPr>
              <w:t>计算能力</w:t>
            </w:r>
          </w:p>
          <w:p>
            <w:pPr>
              <w:pStyle w:val="null3"/>
              <w:jc w:val="left"/>
            </w:pPr>
            <w:r>
              <w:rPr>
                <w:rFonts w:ascii="仿宋_GB2312" w:hAnsi="仿宋_GB2312" w:cs="仿宋_GB2312" w:eastAsia="仿宋_GB2312"/>
              </w:rPr>
              <w:t>直接运算、间接运算、创造运算训练模块。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5）</w:t>
            </w:r>
            <w:r>
              <w:rPr>
                <w:rFonts w:ascii="仿宋_GB2312" w:hAnsi="仿宋_GB2312" w:cs="仿宋_GB2312" w:eastAsia="仿宋_GB2312"/>
                <w:b/>
              </w:rPr>
              <w:t>记忆能力</w:t>
            </w:r>
          </w:p>
          <w:p>
            <w:pPr>
              <w:pStyle w:val="null3"/>
              <w:jc w:val="left"/>
            </w:pPr>
            <w:r>
              <w:rPr>
                <w:rFonts w:ascii="仿宋_GB2312" w:hAnsi="仿宋_GB2312" w:cs="仿宋_GB2312" w:eastAsia="仿宋_GB2312"/>
              </w:rPr>
              <w:t>视觉记忆、听觉记忆、逻辑记忆、运动记忆训练模块。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6）</w:t>
            </w:r>
            <w:r>
              <w:rPr>
                <w:rFonts w:ascii="仿宋_GB2312" w:hAnsi="仿宋_GB2312" w:cs="仿宋_GB2312" w:eastAsia="仿宋_GB2312"/>
                <w:b/>
              </w:rPr>
              <w:t>推理能力</w:t>
            </w:r>
          </w:p>
          <w:p>
            <w:pPr>
              <w:pStyle w:val="null3"/>
              <w:jc w:val="left"/>
            </w:pPr>
            <w:r>
              <w:rPr>
                <w:rFonts w:ascii="仿宋_GB2312" w:hAnsi="仿宋_GB2312" w:cs="仿宋_GB2312" w:eastAsia="仿宋_GB2312"/>
              </w:rPr>
              <w:t>次序推理、事件推理、结构推理、记忆推理、空间推理训练模块。</w:t>
            </w:r>
          </w:p>
          <w:p>
            <w:pPr>
              <w:pStyle w:val="null3"/>
              <w:jc w:val="left"/>
            </w:pPr>
            <w:r>
              <w:rPr>
                <w:rFonts w:ascii="仿宋_GB2312" w:hAnsi="仿宋_GB2312" w:cs="仿宋_GB2312" w:eastAsia="仿宋_GB2312"/>
                <w:b/>
              </w:rPr>
              <w:t>（</w:t>
            </w:r>
            <w:r>
              <w:rPr>
                <w:rFonts w:ascii="仿宋_GB2312" w:hAnsi="仿宋_GB2312" w:cs="仿宋_GB2312" w:eastAsia="仿宋_GB2312"/>
                <w:b/>
              </w:rPr>
              <w:t>7）</w:t>
            </w:r>
            <w:r>
              <w:rPr>
                <w:rFonts w:ascii="仿宋_GB2312" w:hAnsi="仿宋_GB2312" w:cs="仿宋_GB2312" w:eastAsia="仿宋_GB2312"/>
                <w:b/>
              </w:rPr>
              <w:t>听康复</w:t>
            </w:r>
          </w:p>
          <w:p>
            <w:pPr>
              <w:pStyle w:val="null3"/>
              <w:jc w:val="left"/>
            </w:pPr>
            <w:r>
              <w:rPr>
                <w:rFonts w:ascii="仿宋_GB2312" w:hAnsi="仿宋_GB2312" w:cs="仿宋_GB2312" w:eastAsia="仿宋_GB2312"/>
              </w:rPr>
              <w:t>听文字指图、听动词指图、听句子指图；听声音指图、听文字指字、听文字指词；听理解判断（生活常识、比较判断、颜色判断、物品判断）。</w:t>
            </w:r>
          </w:p>
          <w:p>
            <w:pPr>
              <w:pStyle w:val="null3"/>
              <w:jc w:val="left"/>
            </w:pPr>
            <w:r>
              <w:rPr>
                <w:rFonts w:ascii="仿宋_GB2312" w:hAnsi="仿宋_GB2312" w:cs="仿宋_GB2312" w:eastAsia="仿宋_GB2312"/>
                <w:b/>
              </w:rPr>
              <w:t>（</w:t>
            </w:r>
            <w:r>
              <w:rPr>
                <w:rFonts w:ascii="仿宋_GB2312" w:hAnsi="仿宋_GB2312" w:cs="仿宋_GB2312" w:eastAsia="仿宋_GB2312"/>
                <w:b/>
              </w:rPr>
              <w:t>8）</w:t>
            </w:r>
            <w:r>
              <w:rPr>
                <w:rFonts w:ascii="仿宋_GB2312" w:hAnsi="仿宋_GB2312" w:cs="仿宋_GB2312" w:eastAsia="仿宋_GB2312"/>
                <w:b/>
              </w:rPr>
              <w:t>视康复</w:t>
            </w:r>
          </w:p>
          <w:p>
            <w:pPr>
              <w:pStyle w:val="null3"/>
              <w:jc w:val="left"/>
            </w:pPr>
            <w:r>
              <w:rPr>
                <w:rFonts w:ascii="仿宋_GB2312" w:hAnsi="仿宋_GB2312" w:cs="仿宋_GB2312" w:eastAsia="仿宋_GB2312"/>
              </w:rPr>
              <w:t>相同图形匹配、同类图形匹配、缺损图形匹配；看理解判断（生活常识、比较判断、颜色判断、物品判断）。</w:t>
            </w:r>
          </w:p>
          <w:p>
            <w:pPr>
              <w:pStyle w:val="null3"/>
              <w:jc w:val="left"/>
            </w:pPr>
            <w:r>
              <w:rPr>
                <w:rFonts w:ascii="仿宋_GB2312" w:hAnsi="仿宋_GB2312" w:cs="仿宋_GB2312" w:eastAsia="仿宋_GB2312"/>
                <w:b/>
              </w:rPr>
              <w:t>（</w:t>
            </w:r>
            <w:r>
              <w:rPr>
                <w:rFonts w:ascii="仿宋_GB2312" w:hAnsi="仿宋_GB2312" w:cs="仿宋_GB2312" w:eastAsia="仿宋_GB2312"/>
                <w:b/>
              </w:rPr>
              <w:t>9）</w:t>
            </w:r>
            <w:r>
              <w:rPr>
                <w:rFonts w:ascii="仿宋_GB2312" w:hAnsi="仿宋_GB2312" w:cs="仿宋_GB2312" w:eastAsia="仿宋_GB2312"/>
                <w:b/>
              </w:rPr>
              <w:t>基础训练</w:t>
            </w:r>
          </w:p>
          <w:p>
            <w:pPr>
              <w:pStyle w:val="null3"/>
              <w:jc w:val="left"/>
            </w:pPr>
            <w:r>
              <w:rPr>
                <w:rFonts w:ascii="仿宋_GB2312" w:hAnsi="仿宋_GB2312" w:cs="仿宋_GB2312" w:eastAsia="仿宋_GB2312"/>
              </w:rPr>
              <w:t>韵母复述训练、声母复述训练、数字复述训练；名词复述训练、动词复述训练、句子复述训练；名词阅读训练、动词阅读训练、句子阅读训练、诗句阅读训练。</w:t>
            </w:r>
          </w:p>
          <w:p>
            <w:pPr>
              <w:pStyle w:val="null3"/>
              <w:jc w:val="left"/>
            </w:pPr>
            <w:r>
              <w:rPr>
                <w:rFonts w:ascii="仿宋_GB2312" w:hAnsi="仿宋_GB2312" w:cs="仿宋_GB2312" w:eastAsia="仿宋_GB2312"/>
                <w:b/>
              </w:rPr>
              <w:t>（</w:t>
            </w:r>
            <w:r>
              <w:rPr>
                <w:rFonts w:ascii="仿宋_GB2312" w:hAnsi="仿宋_GB2312" w:cs="仿宋_GB2312" w:eastAsia="仿宋_GB2312"/>
                <w:b/>
              </w:rPr>
              <w:t>10）</w:t>
            </w:r>
            <w:r>
              <w:rPr>
                <w:rFonts w:ascii="仿宋_GB2312" w:hAnsi="仿宋_GB2312" w:cs="仿宋_GB2312" w:eastAsia="仿宋_GB2312"/>
                <w:b/>
              </w:rPr>
              <w:t>命名</w:t>
            </w:r>
          </w:p>
          <w:p>
            <w:pPr>
              <w:pStyle w:val="null3"/>
              <w:jc w:val="left"/>
            </w:pPr>
            <w:r>
              <w:rPr>
                <w:rFonts w:ascii="仿宋_GB2312" w:hAnsi="仿宋_GB2312" w:cs="仿宋_GB2312" w:eastAsia="仿宋_GB2312"/>
              </w:rPr>
              <w:t>日常用品命名训练、交通工具命名训练、文具类命名训练；水果类命名训练、植物类命名训练、动物类命名训练；衣物类命名训练、动作类命名训练。</w:t>
            </w:r>
          </w:p>
          <w:p>
            <w:pPr>
              <w:pStyle w:val="null3"/>
              <w:jc w:val="left"/>
            </w:pPr>
            <w:r>
              <w:rPr>
                <w:rFonts w:ascii="仿宋_GB2312" w:hAnsi="仿宋_GB2312" w:cs="仿宋_GB2312" w:eastAsia="仿宋_GB2312"/>
                <w:b/>
              </w:rPr>
              <w:t>（</w:t>
            </w:r>
            <w:r>
              <w:rPr>
                <w:rFonts w:ascii="仿宋_GB2312" w:hAnsi="仿宋_GB2312" w:cs="仿宋_GB2312" w:eastAsia="仿宋_GB2312"/>
                <w:b/>
              </w:rPr>
              <w:t>11）</w:t>
            </w:r>
            <w:r>
              <w:rPr>
                <w:rFonts w:ascii="仿宋_GB2312" w:hAnsi="仿宋_GB2312" w:cs="仿宋_GB2312" w:eastAsia="仿宋_GB2312"/>
                <w:b/>
              </w:rPr>
              <w:t>记忆</w:t>
            </w:r>
          </w:p>
          <w:p>
            <w:pPr>
              <w:pStyle w:val="null3"/>
              <w:jc w:val="left"/>
            </w:pPr>
            <w:r>
              <w:rPr>
                <w:rFonts w:ascii="仿宋_GB2312" w:hAnsi="仿宋_GB2312" w:cs="仿宋_GB2312" w:eastAsia="仿宋_GB2312"/>
              </w:rPr>
              <w:t>单位数字记忆训练、三位数字记忆训练、五位数字记忆训练；单图记忆训练、双图记忆训练、四图记忆训练；单个词记忆训练、两个词记忆训练、四个词记忆训练。</w:t>
            </w:r>
          </w:p>
          <w:p>
            <w:pPr>
              <w:pStyle w:val="null3"/>
              <w:jc w:val="left"/>
            </w:pPr>
            <w:r>
              <w:rPr>
                <w:rFonts w:ascii="仿宋_GB2312" w:hAnsi="仿宋_GB2312" w:cs="仿宋_GB2312" w:eastAsia="仿宋_GB2312"/>
                <w:b/>
              </w:rPr>
              <w:t>（</w:t>
            </w:r>
            <w:r>
              <w:rPr>
                <w:rFonts w:ascii="仿宋_GB2312" w:hAnsi="仿宋_GB2312" w:cs="仿宋_GB2312" w:eastAsia="仿宋_GB2312"/>
                <w:b/>
              </w:rPr>
              <w:t>12）</w:t>
            </w:r>
            <w:r>
              <w:rPr>
                <w:rFonts w:ascii="仿宋_GB2312" w:hAnsi="仿宋_GB2312" w:cs="仿宋_GB2312" w:eastAsia="仿宋_GB2312"/>
                <w:b/>
              </w:rPr>
              <w:t>自发语言</w:t>
            </w:r>
          </w:p>
          <w:p>
            <w:pPr>
              <w:pStyle w:val="null3"/>
              <w:jc w:val="left"/>
            </w:pPr>
            <w:r>
              <w:rPr>
                <w:rFonts w:ascii="仿宋_GB2312" w:hAnsi="仿宋_GB2312" w:cs="仿宋_GB2312" w:eastAsia="仿宋_GB2312"/>
              </w:rPr>
              <w:t>自发语言谜语训练、自发语言回答问题训练、自发语言看实物图训练。</w:t>
            </w:r>
          </w:p>
          <w:p>
            <w:pPr>
              <w:pStyle w:val="null3"/>
              <w:jc w:val="left"/>
            </w:pPr>
            <w:r>
              <w:rPr>
                <w:rFonts w:ascii="仿宋_GB2312" w:hAnsi="仿宋_GB2312" w:cs="仿宋_GB2312" w:eastAsia="仿宋_GB2312"/>
                <w:b/>
              </w:rPr>
              <w:t>3、</w:t>
            </w:r>
            <w:r>
              <w:rPr>
                <w:rFonts w:ascii="仿宋_GB2312" w:hAnsi="仿宋_GB2312" w:cs="仿宋_GB2312" w:eastAsia="仿宋_GB2312"/>
                <w:b/>
              </w:rPr>
              <w:t>语音采集</w:t>
            </w:r>
          </w:p>
          <w:p>
            <w:pPr>
              <w:pStyle w:val="null3"/>
            </w:pPr>
            <w:r>
              <w:rPr>
                <w:rFonts w:ascii="仿宋_GB2312" w:hAnsi="仿宋_GB2312" w:cs="仿宋_GB2312" w:eastAsia="仿宋_GB2312"/>
              </w:rPr>
              <w:t>语音采集功能：对接系统专属知识库，实时采集、存储口语表达训练过程中的语音数据，支持语音回放、智能分析，为训练效果评估提供语音依据，同步更新知识库并实现语音数据与知识库的联动匹配。</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售后服务</w:t>
            </w:r>
          </w:p>
          <w:p>
            <w:pPr>
              <w:pStyle w:val="null3"/>
            </w:pPr>
            <w:r>
              <w:rPr>
                <w:rFonts w:ascii="仿宋_GB2312" w:hAnsi="仿宋_GB2312" w:cs="仿宋_GB2312" w:eastAsia="仿宋_GB2312"/>
                <w:sz w:val="21"/>
              </w:rPr>
              <w:t>报价中包含三年硬、软件质保服务（包含：系统故障修复、补丁更新及远程技术支持服务）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交付期：合同签订后90个日历天内完成，质保期：建设完成后提供不少于3年的硬、软件维保、升级服务。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陕西省第二人民医院指定地点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1.若乙方将本合同约定的审计事项转包、分包给任何第三方的，视为违约，甲方有权解除合同，且乙方应向甲方支付合同总金额的20%作为违约金。 2.乙方未按本合同约定时间或甲方要求向甲方递交审计报告的，每迟延一日，应按本合同总金额千分之三的标准向甲方支付违约金；迟延超过15日的，甲方有权单方解除本合同，乙方应向甲方支付本合同总金额的20%作为违约金。 3.乙方应当根据职业道德及其他有关专业职责、适用的法律法规或其他任何法定的要求，向甲方提供本合同约定的相关服务，如出具的审计报告不符合法律规定及本业务书约定，甲方有权解除本合同，乙方应当退还甲方已支付的全部审计费用，并按合同总额的20%支付违约金，违约金不足以弥补甲方损失的，还应赔偿由此给甲方造成的全部损失。 4.如因不可抗力（包括但不限于自然灾害、政府行为、战争、疫情等）或第三方原因导致甲方无法履行或部分履行本合同的，甲方可部分或全部免除相应责任。不可抗力发生后，甲方应及时通知乙方并提供相关证明。 5.甲方有权在乙方服务不达标、存在重大违约或影响项目合规推进时，单方解除合同且不承担任何额外责任。乙方应退还甲方已支付的全部审计费用，并承担相应违约责任。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成交供应商需要提交与电子化交易系统中一致的纸质版响应文件正本壹份、副本壹份，正、副本分别胶装（可顺丰邮寄），邮寄地址：西安市雁展路1111号莱安中心T6-15层，联系人：谢婷婷，联系电话：029-81206622/81206633-832。 4、磋商文件中所有的商务要求均为实质性要求，供应商必须响应并满足。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商务应答表 标的清单 报价表 响应函 供应商认为有必要说明的问题.docx 技术指标偏差表.docx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硬件产品技术参数</w:t>
            </w:r>
          </w:p>
        </w:tc>
        <w:tc>
          <w:tcPr>
            <w:tcW w:type="dxa" w:w="2492"/>
          </w:tcPr>
          <w:p>
            <w:pPr>
              <w:pStyle w:val="null3"/>
            </w:pPr>
            <w:r>
              <w:rPr>
                <w:rFonts w:ascii="仿宋_GB2312" w:hAnsi="仿宋_GB2312" w:cs="仿宋_GB2312" w:eastAsia="仿宋_GB2312"/>
              </w:rPr>
              <w:t>硬件部分：响应产品的技术指标、参数完全符合、满足磋商文件要求，没有负偏离的计18分；每负偏离一项扣1分，扣完为止。 注：提供响应产品的技术指标、参数的相应的证明材料（不限于产品彩页、测试报告、官网和功能截图等技术支持性文件资料），经评审专家审定得分。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1详细评审---硬件产品技术参数.docx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完整详细的项目实施方案，包括但不限于：①项目实施组织安排；②进度计划及保障；③人力、物力调配及保障措施；④安装调试方案。方案各部分内容全面详细、阐述条理清晰详尽得16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系统架构方案</w:t>
            </w:r>
          </w:p>
        </w:tc>
        <w:tc>
          <w:tcPr>
            <w:tcW w:type="dxa" w:w="2492"/>
          </w:tcPr>
          <w:p>
            <w:pPr>
              <w:pStyle w:val="null3"/>
            </w:pPr>
            <w:r>
              <w:rPr>
                <w:rFonts w:ascii="仿宋_GB2312" w:hAnsi="仿宋_GB2312" w:cs="仿宋_GB2312" w:eastAsia="仿宋_GB2312"/>
              </w:rPr>
              <w:t>供应商针对本项目提供系统架构方案，包括但不限于：①系统互联互通能力；②量表配置与扩展能力；③训练模块功能完整性；④动态追踪；⑤人机交互体验；⑥临床适配性。方案各部分内容全面详细、阐述条理清晰详尽得24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3详细评审---系统架构方案.docx</w:t>
            </w:r>
          </w:p>
        </w:tc>
      </w:tr>
      <w:tr>
        <w:tc>
          <w:tcPr>
            <w:tcW w:type="dxa" w:w="831"/>
            <w:vMerge/>
          </w:tcPr>
          <w:p/>
        </w:tc>
        <w:tc>
          <w:tcPr>
            <w:tcW w:type="dxa" w:w="1661"/>
          </w:tcPr>
          <w:p>
            <w:pPr>
              <w:pStyle w:val="null3"/>
            </w:pPr>
            <w:r>
              <w:rPr>
                <w:rFonts w:ascii="仿宋_GB2312" w:hAnsi="仿宋_GB2312" w:cs="仿宋_GB2312" w:eastAsia="仿宋_GB2312"/>
              </w:rPr>
              <w:t>安全性与可靠性方案</w:t>
            </w:r>
          </w:p>
        </w:tc>
        <w:tc>
          <w:tcPr>
            <w:tcW w:type="dxa" w:w="2492"/>
          </w:tcPr>
          <w:p>
            <w:pPr>
              <w:pStyle w:val="null3"/>
            </w:pPr>
            <w:r>
              <w:rPr>
                <w:rFonts w:ascii="仿宋_GB2312" w:hAnsi="仿宋_GB2312" w:cs="仿宋_GB2312" w:eastAsia="仿宋_GB2312"/>
              </w:rPr>
              <w:t>供应商针对本项目提供安全性与可靠性方案，包括但不限于：①系统安全设计（身份认证、访问控制、权限管理、数据加密、操作日志管理等）；②数据安全与隐私保护措施；③系统高可用性、容灾备份与恢复方案；④漏洞管理和安全运维机制；方案各部分内容全面详细、阐述条理清晰详尽得4分。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4详细评审---安全性与可靠性方案.docx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1.具备与所投产品相关的国家版权局颁发的计算机软件著作权登记证书，计2分； 2.产品进货渠道正规，确保生产供应的产品无假货、水货、翻新货且无产权纠纷，提供响应产品的合法来源渠道证明文件（不限于原厂授权、供货协议等）,完全响应得2分；未提供或提供不全不得分。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5详细评审---质量保障方案.docx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供应商针对本项目配备的项目实施团队结构合理、分工明确，包括但不限于：①人员配备数量及清单；②人员职责与分工；③具备相关资质证书及经验；④人员稳定性保障；方案各部分内容全面详细、阐述条理清晰详尽得8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6详细评审---项目团队人员配备.docx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采购人实际情况提供相适应的售后服务方案，包括但不限于：①售后服务内容及承诺；②故障处理预案及时限；③定期巡检运维服务方案等；方案各部分内容全面详细、阐述条理清晰详尽得6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可行的技术培训方案，培训采购人指定的技术人员和管理人员，制定培训课程计划表，列出每种培训的地点和时间，包括但不限于：①培训计划，含培训计划表、地点、时间、培训方式及培训对象人数等；②培训内容（包括但不限于应用软件操作培训、系统安装部署培训、系统运维培训，并提供完整的技术培训文档等）。方案各部分内容全面详细、阐述条理清晰详尽得4分；以上分项每缺少一项内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供应商2023年至今（以签订时间为准）承担过类似业绩的，每项得1分，最高得6分。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供应商认为有必要说明的问题.docx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详见附件：1详细评审---硬件产品技术参数.docx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详见附件：3详细评审---系统架构方案.docx</w:t>
      </w:r>
    </w:p>
    <w:p>
      <w:pPr>
        <w:pStyle w:val="null3"/>
        <w:ind w:firstLine="960"/>
      </w:pPr>
      <w:r>
        <w:rPr>
          <w:rFonts w:ascii="仿宋_GB2312" w:hAnsi="仿宋_GB2312" w:cs="仿宋_GB2312" w:eastAsia="仿宋_GB2312"/>
        </w:rPr>
        <w:t>详见附件：4详细评审---安全性与可靠性方案.docx</w:t>
      </w:r>
    </w:p>
    <w:p>
      <w:pPr>
        <w:pStyle w:val="null3"/>
        <w:ind w:firstLine="960"/>
      </w:pPr>
      <w:r>
        <w:rPr>
          <w:rFonts w:ascii="仿宋_GB2312" w:hAnsi="仿宋_GB2312" w:cs="仿宋_GB2312" w:eastAsia="仿宋_GB2312"/>
        </w:rPr>
        <w:t>详见附件：5详细评审---质量保障方案.docx</w:t>
      </w:r>
    </w:p>
    <w:p>
      <w:pPr>
        <w:pStyle w:val="null3"/>
        <w:ind w:firstLine="960"/>
      </w:pPr>
      <w:r>
        <w:rPr>
          <w:rFonts w:ascii="仿宋_GB2312" w:hAnsi="仿宋_GB2312" w:cs="仿宋_GB2312" w:eastAsia="仿宋_GB2312"/>
        </w:rPr>
        <w:t>详见附件：6详细评审---项目团队人员配备.docx</w:t>
      </w:r>
    </w:p>
    <w:p>
      <w:pPr>
        <w:pStyle w:val="null3"/>
        <w:ind w:firstLine="960"/>
      </w:pPr>
      <w:r>
        <w:rPr>
          <w:rFonts w:ascii="仿宋_GB2312" w:hAnsi="仿宋_GB2312" w:cs="仿宋_GB2312" w:eastAsia="仿宋_GB2312"/>
        </w:rPr>
        <w:t>详见附件：7详细评审---售后服务方案.docx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详见附件：供应商认为有必要说明的问题.docx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