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版本号：DQB-2026017-CS20260417001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“以标立新・质享未来”跨境标准化合作交流活动</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DQB-2026017-CS</w:t>
      </w:r>
      <w:r>
        <w:br/>
      </w:r>
      <w:r>
        <w:br/>
      </w:r>
      <w:r>
        <w:br/>
      </w:r>
    </w:p>
    <w:p>
      <w:pPr>
        <w:pStyle w:val="null3"/>
        <w:jc w:val="center"/>
        <w:outlineLvl w:val="2"/>
      </w:pPr>
      <w:r>
        <w:rPr>
          <w:rFonts w:ascii="仿宋_GB2312" w:hAnsi="仿宋_GB2312" w:cs="仿宋_GB2312" w:eastAsia="仿宋_GB2312"/>
          <w:sz w:val="28"/>
          <w:b/>
        </w:rPr>
        <w:t>陕西省市场监督管理局</w:t>
      </w:r>
    </w:p>
    <w:p>
      <w:pPr>
        <w:pStyle w:val="null3"/>
        <w:jc w:val="center"/>
        <w:outlineLvl w:val="2"/>
      </w:pPr>
      <w:r>
        <w:rPr>
          <w:rFonts w:ascii="仿宋_GB2312" w:hAnsi="仿宋_GB2312" w:cs="仿宋_GB2312" w:eastAsia="仿宋_GB2312"/>
          <w:sz w:val="28"/>
          <w:b/>
        </w:rPr>
        <w:t>陕西德勤招标有限公司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陕西德勤招标有限公司</w:t>
      </w:r>
      <w:r>
        <w:rPr>
          <w:rFonts w:ascii="仿宋_GB2312" w:hAnsi="仿宋_GB2312" w:cs="仿宋_GB2312" w:eastAsia="仿宋_GB2312"/>
        </w:rPr>
        <w:t>（以下简称“代理机构”）受</w:t>
      </w:r>
      <w:r>
        <w:rPr>
          <w:rFonts w:ascii="仿宋_GB2312" w:hAnsi="仿宋_GB2312" w:cs="仿宋_GB2312" w:eastAsia="仿宋_GB2312"/>
        </w:rPr>
        <w:t>陕西省市场监督管理局</w:t>
      </w:r>
      <w:r>
        <w:rPr>
          <w:rFonts w:ascii="仿宋_GB2312" w:hAnsi="仿宋_GB2312" w:cs="仿宋_GB2312" w:eastAsia="仿宋_GB2312"/>
        </w:rPr>
        <w:t>委托，拟对</w:t>
      </w:r>
      <w:r>
        <w:rPr>
          <w:rFonts w:ascii="仿宋_GB2312" w:hAnsi="仿宋_GB2312" w:cs="仿宋_GB2312" w:eastAsia="仿宋_GB2312"/>
        </w:rPr>
        <w:t>“以标立新・质享未来”跨境标准化合作交流活动</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DQB-2026017-CS</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“以标立新・质享未来”跨境标准化合作交流活动</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活动以“标准赋能跨境合作，质量引领未来发展”为核心导向，紧扣“以标立新、以质赋能、以合共赢”的理念，汇聚国内外标准化领域权威专家、行业领军企业、科研机构及相关职能部门代表，聚焦跨境贸易、产业协同、技术创新等重点领域，深度呼应共建“一带一路”标准“软联通”需求，立足跨境合作实际痛点，推动国内外标准互认互通，助力企业降低贸易成本、提升核心竞争力，推动产业链上下游标准有效衔接，提升产业链供应链现代化水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1、营业执照等主体资格证明文件：提供有效存续的企业营业执照（副本）/事业单位法人证书/专业服务机构执业许可证/民办非企业单位登记证书/自然人身份证等。</w:t>
      </w:r>
    </w:p>
    <w:p>
      <w:pPr>
        <w:pStyle w:val="null3"/>
      </w:pPr>
      <w:r>
        <w:rPr>
          <w:rFonts w:ascii="仿宋_GB2312" w:hAnsi="仿宋_GB2312" w:cs="仿宋_GB2312" w:eastAsia="仿宋_GB2312"/>
        </w:rPr>
        <w:t>2、财务状况报告：提供2024年度或2025年度经审计的财务报告（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3、书面声明：提供书面声明，包括声明具有履行合同所必需的设备和专业技术能力；未为本项目提供整体设计、规范编制或者项目管理、监理、检测等服务。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4、社保缴纳证明：提供递交响应文件截止之日前一年内任意一个月的社会保障资金缴存单据或社保机构开具的社会保险参保缴费情况证明。依法不需要缴纳社会保障资金的供应商应提供相关文件证明。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5、税收缴纳证明：提供递交响应文件截止之日前一年内任意一个月的依法缴纳税收的相关凭据，凭据应有税务机关或代收机关的公章或业务专用章。依法免税或无须缴纳税收的供应商，应提供相应证明文件。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6、近三年无重大违法、违纪书面声明：提供《近三年无重大违法、违纪书面声明》。</w:t>
      </w:r>
    </w:p>
    <w:p>
      <w:pPr>
        <w:pStyle w:val="null3"/>
      </w:pPr>
      <w:r>
        <w:rPr>
          <w:rFonts w:ascii="仿宋_GB2312" w:hAnsi="仿宋_GB2312" w:cs="仿宋_GB2312" w:eastAsia="仿宋_GB2312"/>
        </w:rPr>
        <w:t>7、信用记录：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p>
      <w:pPr>
        <w:pStyle w:val="null3"/>
      </w:pPr>
      <w:r>
        <w:rPr>
          <w:rFonts w:ascii="仿宋_GB2312" w:hAnsi="仿宋_GB2312" w:cs="仿宋_GB2312" w:eastAsia="仿宋_GB2312"/>
        </w:rPr>
        <w:t>8、控股管理关系：提供直接控股和管理关系清单。若与其他供应商存在单位负责人为同一人或者存在直接控股、管理关系的，则响应无效。</w:t>
      </w:r>
    </w:p>
    <w:p>
      <w:pPr>
        <w:pStyle w:val="null3"/>
      </w:pPr>
      <w:r>
        <w:rPr>
          <w:rFonts w:ascii="仿宋_GB2312" w:hAnsi="仿宋_GB2312" w:cs="仿宋_GB2312" w:eastAsia="仿宋_GB2312"/>
        </w:rPr>
        <w:t>9、法定代表人授权委托书：法定代表人参加磋商的，须提供本人身份证复印件（附在响应文件中）；法定代表人授权他人参加磋商的，须提供法定代表人授权委托书。磋商文件中凡是需要法定代表人盖章之处，非法人单位的负责人均参照执行。 法人的分支机构参与磋商时，除提供《法定代表人授权委托书》、《法定代表人证明书》外，还须同时提供法人给分支机构出具的授权书。</w:t>
      </w:r>
    </w:p>
    <w:p>
      <w:pPr>
        <w:pStyle w:val="null3"/>
      </w:pPr>
      <w:r>
        <w:rPr>
          <w:rFonts w:ascii="仿宋_GB2312" w:hAnsi="仿宋_GB2312" w:cs="仿宋_GB2312" w:eastAsia="仿宋_GB2312"/>
        </w:rPr>
        <w:t>10、本项目不接受联合体磋商，不允许分包：供应商应提供《非联合体不分包磋商声明》，视为独立磋商，不分包。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西安市二环北路东段739号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陕西省市场监督管理局段老师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029-86138269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陕西德勤招标有限公司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陕西省西安市高新区丈八一路1号汇鑫中心D座2206室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姜仕路、李寅辰、李维婧</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029-81169855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采购包1保证金金额：13,000.00元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开户名称：陕西德勤招标有限公司</w:t>
            </w:r>
          </w:p>
          <w:p>
            <w:pPr>
              <w:pStyle w:val="null3"/>
            </w:pPr>
            <w:r>
              <w:rPr>
                <w:rFonts w:ascii="仿宋_GB2312" w:hAnsi="仿宋_GB2312" w:cs="仿宋_GB2312" w:eastAsia="仿宋_GB2312"/>
              </w:rPr>
              <w:t>开户银行：光大银行西安丈八东路支行</w:t>
            </w:r>
          </w:p>
          <w:p>
            <w:pPr>
              <w:pStyle w:val="null3"/>
            </w:pPr>
            <w:r>
              <w:rPr>
                <w:rFonts w:ascii="仿宋_GB2312" w:hAnsi="仿宋_GB2312" w:cs="仿宋_GB2312" w:eastAsia="仿宋_GB2312"/>
              </w:rPr>
              <w:t>银行账号：52880188000155694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代理服务费收费标准：成交金额100万以下，按照费率1.5%计取（不足伍仟按伍仟收取）。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陕西省市场监督管理局</w:t>
      </w:r>
      <w:r>
        <w:rPr>
          <w:rFonts w:ascii="仿宋_GB2312" w:hAnsi="仿宋_GB2312" w:cs="仿宋_GB2312" w:eastAsia="仿宋_GB2312"/>
        </w:rPr>
        <w:t>和</w:t>
      </w:r>
      <w:r>
        <w:rPr>
          <w:rFonts w:ascii="仿宋_GB2312" w:hAnsi="仿宋_GB2312" w:cs="仿宋_GB2312" w:eastAsia="仿宋_GB2312"/>
        </w:rPr>
        <w:t>陕西德勤招标有限公司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陕西省市场监督管理局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陕西德勤招标有限公司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陕西德勤招标有限公司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按照合同约定执行，详见合同附件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联系人：姜仕路、李维婧、李寅辰</w:t>
      </w:r>
    </w:p>
    <w:p>
      <w:pPr>
        <w:pStyle w:val="null3"/>
      </w:pPr>
      <w:r>
        <w:rPr>
          <w:rFonts w:ascii="仿宋_GB2312" w:hAnsi="仿宋_GB2312" w:cs="仿宋_GB2312" w:eastAsia="仿宋_GB2312"/>
        </w:rPr>
        <w:t>联系电话：029-81169855</w:t>
      </w:r>
    </w:p>
    <w:p>
      <w:pPr>
        <w:pStyle w:val="null3"/>
      </w:pPr>
      <w:r>
        <w:rPr>
          <w:rFonts w:ascii="仿宋_GB2312" w:hAnsi="仿宋_GB2312" w:cs="仿宋_GB2312" w:eastAsia="仿宋_GB2312"/>
        </w:rPr>
        <w:t>地址：陕西省西安市高新区丈八一路1号汇鑫中心D座2206</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“以标立新・质享未来”跨境标准化合作交流活动项目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650,000.00</w:t>
      </w:r>
    </w:p>
    <w:p>
      <w:pPr>
        <w:pStyle w:val="null3"/>
      </w:pPr>
      <w:r>
        <w:rPr>
          <w:rFonts w:ascii="仿宋_GB2312" w:hAnsi="仿宋_GB2312" w:cs="仿宋_GB2312" w:eastAsia="仿宋_GB2312"/>
        </w:rPr>
        <w:t>采购包最高限价（元）: 650,000.00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以标立新・质享未来 跨境标准化合作交流活动</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标的名称：以标立新・质享未来 跨境标准化合作交流活动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52"/>
            </w:tblGrid>
            <w:tr>
              <w:tc>
                <w:tcPr>
                  <w:tcW w:type="dxa" w:w="2552"/>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480"/>
                    <w:jc w:val="left"/>
                  </w:pPr>
                  <w:r>
                    <w:rPr>
                      <w:rFonts w:ascii="仿宋_GB2312" w:hAnsi="仿宋_GB2312" w:cs="仿宋_GB2312" w:eastAsia="仿宋_GB2312"/>
                      <w:sz w:val="21"/>
                    </w:rPr>
                    <w:t>一、项目简介：</w:t>
                  </w:r>
                </w:p>
                <w:p>
                  <w:pPr>
                    <w:pStyle w:val="null3"/>
                    <w:ind w:firstLine="420"/>
                    <w:jc w:val="left"/>
                  </w:pPr>
                  <w:r>
                    <w:rPr>
                      <w:rFonts w:ascii="仿宋_GB2312" w:hAnsi="仿宋_GB2312" w:cs="仿宋_GB2312" w:eastAsia="仿宋_GB2312"/>
                      <w:sz w:val="21"/>
                    </w:rPr>
                    <w:t>活动以</w:t>
                  </w:r>
                  <w:r>
                    <w:rPr>
                      <w:rFonts w:ascii="仿宋_GB2312" w:hAnsi="仿宋_GB2312" w:cs="仿宋_GB2312" w:eastAsia="仿宋_GB2312"/>
                      <w:sz w:val="21"/>
                    </w:rPr>
                    <w:t>“</w:t>
                  </w:r>
                  <w:r>
                    <w:rPr>
                      <w:rFonts w:ascii="仿宋_GB2312" w:hAnsi="仿宋_GB2312" w:cs="仿宋_GB2312" w:eastAsia="仿宋_GB2312"/>
                      <w:sz w:val="21"/>
                    </w:rPr>
                    <w:t>标准赋能跨境合作，质量引领未来发展</w:t>
                  </w:r>
                  <w:r>
                    <w:rPr>
                      <w:rFonts w:ascii="仿宋_GB2312" w:hAnsi="仿宋_GB2312" w:cs="仿宋_GB2312" w:eastAsia="仿宋_GB2312"/>
                      <w:sz w:val="21"/>
                    </w:rPr>
                    <w:t>”</w:t>
                  </w:r>
                  <w:r>
                    <w:rPr>
                      <w:rFonts w:ascii="仿宋_GB2312" w:hAnsi="仿宋_GB2312" w:cs="仿宋_GB2312" w:eastAsia="仿宋_GB2312"/>
                      <w:sz w:val="21"/>
                    </w:rPr>
                    <w:t>为核心导向，紧扣</w:t>
                  </w:r>
                  <w:r>
                    <w:rPr>
                      <w:rFonts w:ascii="仿宋_GB2312" w:hAnsi="仿宋_GB2312" w:cs="仿宋_GB2312" w:eastAsia="仿宋_GB2312"/>
                      <w:sz w:val="21"/>
                    </w:rPr>
                    <w:t>“</w:t>
                  </w:r>
                  <w:r>
                    <w:rPr>
                      <w:rFonts w:ascii="仿宋_GB2312" w:hAnsi="仿宋_GB2312" w:cs="仿宋_GB2312" w:eastAsia="仿宋_GB2312"/>
                      <w:sz w:val="21"/>
                    </w:rPr>
                    <w:t>以标立新、以质赋能、以合共赢</w:t>
                  </w:r>
                  <w:r>
                    <w:rPr>
                      <w:rFonts w:ascii="仿宋_GB2312" w:hAnsi="仿宋_GB2312" w:cs="仿宋_GB2312" w:eastAsia="仿宋_GB2312"/>
                      <w:sz w:val="21"/>
                    </w:rPr>
                    <w:t>”</w:t>
                  </w:r>
                  <w:r>
                    <w:rPr>
                      <w:rFonts w:ascii="仿宋_GB2312" w:hAnsi="仿宋_GB2312" w:cs="仿宋_GB2312" w:eastAsia="仿宋_GB2312"/>
                      <w:sz w:val="21"/>
                    </w:rPr>
                    <w:t>的理念，汇聚国内外标准化领域权威专家、行业领军企业、科研机构及相关职能部门代表，聚焦跨境贸易、产业协同、技术创新等重点领域，深度呼应共建</w:t>
                  </w:r>
                  <w:r>
                    <w:rPr>
                      <w:rFonts w:ascii="仿宋_GB2312" w:hAnsi="仿宋_GB2312" w:cs="仿宋_GB2312" w:eastAsia="仿宋_GB2312"/>
                      <w:sz w:val="21"/>
                    </w:rPr>
                    <w:t>“</w:t>
                  </w:r>
                  <w:r>
                    <w:rPr>
                      <w:rFonts w:ascii="仿宋_GB2312" w:hAnsi="仿宋_GB2312" w:cs="仿宋_GB2312" w:eastAsia="仿宋_GB2312"/>
                      <w:sz w:val="21"/>
                    </w:rPr>
                    <w:t>一带一路</w:t>
                  </w:r>
                  <w:r>
                    <w:rPr>
                      <w:rFonts w:ascii="仿宋_GB2312" w:hAnsi="仿宋_GB2312" w:cs="仿宋_GB2312" w:eastAsia="仿宋_GB2312"/>
                      <w:sz w:val="21"/>
                    </w:rPr>
                    <w:t>”</w:t>
                  </w:r>
                  <w:r>
                    <w:rPr>
                      <w:rFonts w:ascii="仿宋_GB2312" w:hAnsi="仿宋_GB2312" w:cs="仿宋_GB2312" w:eastAsia="仿宋_GB2312"/>
                      <w:sz w:val="21"/>
                    </w:rPr>
                    <w:t>标准</w:t>
                  </w:r>
                  <w:r>
                    <w:rPr>
                      <w:rFonts w:ascii="仿宋_GB2312" w:hAnsi="仿宋_GB2312" w:cs="仿宋_GB2312" w:eastAsia="仿宋_GB2312"/>
                      <w:sz w:val="21"/>
                    </w:rPr>
                    <w:t>“</w:t>
                  </w:r>
                  <w:r>
                    <w:rPr>
                      <w:rFonts w:ascii="仿宋_GB2312" w:hAnsi="仿宋_GB2312" w:cs="仿宋_GB2312" w:eastAsia="仿宋_GB2312"/>
                      <w:sz w:val="21"/>
                    </w:rPr>
                    <w:t>软联通</w:t>
                  </w:r>
                  <w:r>
                    <w:rPr>
                      <w:rFonts w:ascii="仿宋_GB2312" w:hAnsi="仿宋_GB2312" w:cs="仿宋_GB2312" w:eastAsia="仿宋_GB2312"/>
                      <w:sz w:val="21"/>
                    </w:rPr>
                    <w:t>”</w:t>
                  </w:r>
                  <w:r>
                    <w:rPr>
                      <w:rFonts w:ascii="仿宋_GB2312" w:hAnsi="仿宋_GB2312" w:cs="仿宋_GB2312" w:eastAsia="仿宋_GB2312"/>
                      <w:sz w:val="21"/>
                    </w:rPr>
                    <w:t>需求，立足跨境合作实际痛点，推动国内外标准互认互通，助力企业降低贸易成本、提升核心竞争力，推动产业链上下游标准有效衔接，提升产业链供应链现代化水平。</w:t>
                  </w:r>
                </w:p>
                <w:p>
                  <w:pPr>
                    <w:pStyle w:val="null3"/>
                    <w:ind w:firstLine="480"/>
                    <w:jc w:val="left"/>
                  </w:pPr>
                  <w:r>
                    <w:rPr>
                      <w:rFonts w:ascii="仿宋_GB2312" w:hAnsi="仿宋_GB2312" w:cs="仿宋_GB2312" w:eastAsia="仿宋_GB2312"/>
                      <w:sz w:val="21"/>
                    </w:rPr>
                    <w:t>二</w:t>
                  </w:r>
                  <w:r>
                    <w:rPr>
                      <w:rFonts w:ascii="仿宋_GB2312" w:hAnsi="仿宋_GB2312" w:cs="仿宋_GB2312" w:eastAsia="仿宋_GB2312"/>
                      <w:sz w:val="21"/>
                    </w:rPr>
                    <w:t>、技术要求</w:t>
                  </w:r>
                </w:p>
                <w:p>
                  <w:pPr>
                    <w:pStyle w:val="null3"/>
                    <w:ind w:firstLine="480"/>
                    <w:jc w:val="left"/>
                  </w:pPr>
                  <w:r>
                    <w:rPr>
                      <w:rFonts w:ascii="仿宋_GB2312" w:hAnsi="仿宋_GB2312" w:cs="仿宋_GB2312" w:eastAsia="仿宋_GB2312"/>
                      <w:sz w:val="21"/>
                    </w:rPr>
                    <w:t>1.</w:t>
                  </w:r>
                  <w:r>
                    <w:rPr>
                      <w:rFonts w:ascii="仿宋_GB2312" w:hAnsi="仿宋_GB2312" w:cs="仿宋_GB2312" w:eastAsia="仿宋_GB2312"/>
                      <w:sz w:val="21"/>
                    </w:rPr>
                    <w:t>方案策划：在项目实施地点举办一场专题活动，时间半天（上午</w:t>
                  </w:r>
                  <w:r>
                    <w:rPr>
                      <w:rFonts w:ascii="仿宋_GB2312" w:hAnsi="仿宋_GB2312" w:cs="仿宋_GB2312" w:eastAsia="仿宋_GB2312"/>
                      <w:sz w:val="21"/>
                    </w:rPr>
                    <w:t>9:00-11:50</w:t>
                  </w:r>
                  <w:r>
                    <w:rPr>
                      <w:rFonts w:ascii="仿宋_GB2312" w:hAnsi="仿宋_GB2312" w:cs="仿宋_GB2312" w:eastAsia="仿宋_GB2312"/>
                      <w:sz w:val="21"/>
                    </w:rPr>
                    <w:t>），场地面积</w:t>
                  </w:r>
                  <w:r>
                    <w:rPr>
                      <w:rFonts w:ascii="仿宋_GB2312" w:hAnsi="仿宋_GB2312" w:cs="仿宋_GB2312" w:eastAsia="仿宋_GB2312"/>
                      <w:sz w:val="21"/>
                    </w:rPr>
                    <w:t>1000</w:t>
                  </w:r>
                  <w:r>
                    <w:rPr>
                      <w:rFonts w:ascii="仿宋_GB2312" w:hAnsi="仿宋_GB2312" w:cs="仿宋_GB2312" w:eastAsia="仿宋_GB2312"/>
                      <w:sz w:val="21"/>
                    </w:rPr>
                    <w:t>平米，规模不少于</w:t>
                  </w:r>
                  <w:r>
                    <w:rPr>
                      <w:rFonts w:ascii="仿宋_GB2312" w:hAnsi="仿宋_GB2312" w:cs="仿宋_GB2312" w:eastAsia="仿宋_GB2312"/>
                      <w:sz w:val="21"/>
                    </w:rPr>
                    <w:t>250</w:t>
                  </w:r>
                  <w:r>
                    <w:rPr>
                      <w:rFonts w:ascii="仿宋_GB2312" w:hAnsi="仿宋_GB2312" w:cs="仿宋_GB2312" w:eastAsia="仿宋_GB2312"/>
                      <w:sz w:val="21"/>
                    </w:rPr>
                    <w:t>人。围绕活动主题，策划活动的详细实施方案。明确活动核心内容，契合政府主办标准与行业专业属性，确保方案科学可行。</w:t>
                  </w:r>
                </w:p>
                <w:p>
                  <w:pPr>
                    <w:pStyle w:val="null3"/>
                    <w:ind w:firstLine="480"/>
                    <w:jc w:val="left"/>
                  </w:pPr>
                  <w:r>
                    <w:rPr>
                      <w:rFonts w:ascii="仿宋_GB2312" w:hAnsi="仿宋_GB2312" w:cs="仿宋_GB2312" w:eastAsia="仿宋_GB2312"/>
                      <w:sz w:val="21"/>
                    </w:rPr>
                    <w:t>2.</w:t>
                  </w:r>
                  <w:r>
                    <w:rPr>
                      <w:rFonts w:ascii="仿宋_GB2312" w:hAnsi="仿宋_GB2312" w:cs="仿宋_GB2312" w:eastAsia="仿宋_GB2312"/>
                      <w:sz w:val="21"/>
                    </w:rPr>
                    <w:t>嘉宾邀约对接：有邀请标准化领域国内外行业专家、知名企业高管等的相关经验和资源，完成全流程工作对接跟进，落实邀请嘉宾行程保障、现场接待、流程衔接等工作。</w:t>
                  </w:r>
                </w:p>
                <w:p>
                  <w:pPr>
                    <w:pStyle w:val="null3"/>
                    <w:ind w:firstLine="480"/>
                    <w:jc w:val="left"/>
                  </w:pPr>
                  <w:r>
                    <w:rPr>
                      <w:rFonts w:ascii="仿宋_GB2312" w:hAnsi="仿宋_GB2312" w:cs="仿宋_GB2312" w:eastAsia="仿宋_GB2312"/>
                      <w:sz w:val="21"/>
                    </w:rPr>
                    <w:t>3.</w:t>
                  </w:r>
                  <w:r>
                    <w:rPr>
                      <w:rFonts w:ascii="仿宋_GB2312" w:hAnsi="仿宋_GB2312" w:cs="仿宋_GB2312" w:eastAsia="仿宋_GB2312"/>
                      <w:sz w:val="21"/>
                    </w:rPr>
                    <w:t>文稿内容管控：配合采购人完成各类文稿及活动物料文案的起草审校工作，审核标准化相关演讲内容，确保内容贴合活动主题、符合专业规范。</w:t>
                  </w:r>
                </w:p>
                <w:p>
                  <w:pPr>
                    <w:pStyle w:val="null3"/>
                    <w:ind w:firstLine="480"/>
                    <w:jc w:val="left"/>
                  </w:pPr>
                  <w:r>
                    <w:rPr>
                      <w:rFonts w:ascii="仿宋_GB2312" w:hAnsi="仿宋_GB2312" w:cs="仿宋_GB2312" w:eastAsia="仿宋_GB2312"/>
                      <w:sz w:val="21"/>
                    </w:rPr>
                    <w:t>4.</w:t>
                  </w:r>
                  <w:r>
                    <w:rPr>
                      <w:rFonts w:ascii="仿宋_GB2312" w:hAnsi="仿宋_GB2312" w:cs="仿宋_GB2312" w:eastAsia="仿宋_GB2312"/>
                      <w:sz w:val="21"/>
                    </w:rPr>
                    <w:t>视觉设计：结合活动主题需求，完成各类物料的设计制作，保证设计风格统一规范、贴合活动调性。</w:t>
                  </w:r>
                </w:p>
                <w:p>
                  <w:pPr>
                    <w:pStyle w:val="null3"/>
                    <w:ind w:firstLine="480"/>
                    <w:jc w:val="left"/>
                  </w:pPr>
                  <w:r>
                    <w:rPr>
                      <w:rFonts w:ascii="仿宋_GB2312" w:hAnsi="仿宋_GB2312" w:cs="仿宋_GB2312" w:eastAsia="仿宋_GB2312"/>
                      <w:sz w:val="21"/>
                    </w:rPr>
                    <w:t>5.</w:t>
                  </w:r>
                  <w:r>
                    <w:rPr>
                      <w:rFonts w:ascii="仿宋_GB2312" w:hAnsi="仿宋_GB2312" w:cs="仿宋_GB2312" w:eastAsia="仿宋_GB2312"/>
                      <w:sz w:val="21"/>
                    </w:rPr>
                    <w:t>会场筹备：完成活动主舞台搭建、设备调试及展区布置，做好各类设备全程运行管控、故障排查与应急处置，保障舞台搭建规范、设备正常运行、适配活动流程。</w:t>
                  </w:r>
                </w:p>
                <w:p>
                  <w:pPr>
                    <w:pStyle w:val="null3"/>
                    <w:ind w:firstLine="480"/>
                    <w:jc w:val="left"/>
                  </w:pPr>
                  <w:r>
                    <w:rPr>
                      <w:rFonts w:ascii="仿宋_GB2312" w:hAnsi="仿宋_GB2312" w:cs="仿宋_GB2312" w:eastAsia="仿宋_GB2312"/>
                      <w:sz w:val="21"/>
                    </w:rPr>
                    <w:t>6.</w:t>
                  </w:r>
                  <w:r>
                    <w:rPr>
                      <w:rFonts w:ascii="仿宋_GB2312" w:hAnsi="仿宋_GB2312" w:cs="仿宋_GB2312" w:eastAsia="仿宋_GB2312"/>
                      <w:sz w:val="21"/>
                    </w:rPr>
                    <w:t>物料保障：负责会议物料的采购、制作、现场分装、布置与摆放工作，确保物料齐全、符合要求、规范有序。</w:t>
                  </w:r>
                </w:p>
                <w:p>
                  <w:pPr>
                    <w:pStyle w:val="null3"/>
                    <w:ind w:firstLine="480"/>
                    <w:jc w:val="left"/>
                  </w:pPr>
                  <w:r>
                    <w:rPr>
                      <w:rFonts w:ascii="仿宋_GB2312" w:hAnsi="仿宋_GB2312" w:cs="仿宋_GB2312" w:eastAsia="仿宋_GB2312"/>
                      <w:sz w:val="21"/>
                    </w:rPr>
                    <w:t>7.</w:t>
                  </w:r>
                  <w:r>
                    <w:rPr>
                      <w:rFonts w:ascii="仿宋_GB2312" w:hAnsi="仿宋_GB2312" w:cs="仿宋_GB2312" w:eastAsia="仿宋_GB2312"/>
                      <w:sz w:val="21"/>
                    </w:rPr>
                    <w:t>来宾观众管理：负责来宾观众的信息登记、签到引导、现场指引及咨询解答，做好现场秩序维护。</w:t>
                  </w:r>
                </w:p>
                <w:p>
                  <w:pPr>
                    <w:pStyle w:val="null3"/>
                    <w:ind w:firstLine="480"/>
                    <w:jc w:val="left"/>
                  </w:pPr>
                  <w:r>
                    <w:rPr>
                      <w:rFonts w:ascii="仿宋_GB2312" w:hAnsi="仿宋_GB2312" w:cs="仿宋_GB2312" w:eastAsia="仿宋_GB2312"/>
                      <w:sz w:val="21"/>
                    </w:rPr>
                    <w:t>8</w:t>
                  </w:r>
                  <w:r>
                    <w:rPr>
                      <w:rFonts w:ascii="仿宋_GB2312" w:hAnsi="仿宋_GB2312" w:cs="仿宋_GB2312" w:eastAsia="仿宋_GB2312"/>
                      <w:sz w:val="21"/>
                    </w:rPr>
                    <w:t>现场应急管控：负责活动现场突发情况处置、流程衔接协调，保障活动流程顺畅推进。</w:t>
                  </w:r>
                </w:p>
                <w:p>
                  <w:pPr>
                    <w:pStyle w:val="null3"/>
                    <w:ind w:firstLine="480"/>
                    <w:jc w:val="left"/>
                  </w:pPr>
                  <w:r>
                    <w:rPr>
                      <w:rFonts w:ascii="仿宋_GB2312" w:hAnsi="仿宋_GB2312" w:cs="仿宋_GB2312" w:eastAsia="仿宋_GB2312"/>
                      <w:sz w:val="21"/>
                    </w:rPr>
                    <w:t>9.</w:t>
                  </w:r>
                  <w:r>
                    <w:rPr>
                      <w:rFonts w:ascii="仿宋_GB2312" w:hAnsi="仿宋_GB2312" w:cs="仿宋_GB2312" w:eastAsia="仿宋_GB2312"/>
                      <w:sz w:val="21"/>
                    </w:rPr>
                    <w:t>成果凝练与后续衔接：活动结束后，配合采购人编制相关成果材料，按要求完成活动各类资料整理归档，配合采购人落实相关后续事宜。</w:t>
                  </w:r>
                </w:p>
                <w:p>
                  <w:pPr>
                    <w:pStyle w:val="null3"/>
                    <w:ind w:firstLine="480"/>
                    <w:jc w:val="left"/>
                  </w:pPr>
                  <w:r>
                    <w:rPr>
                      <w:rFonts w:ascii="仿宋_GB2312" w:hAnsi="仿宋_GB2312" w:cs="仿宋_GB2312" w:eastAsia="仿宋_GB2312"/>
                      <w:sz w:val="21"/>
                    </w:rPr>
                    <w:t>10.</w:t>
                  </w:r>
                  <w:r>
                    <w:rPr>
                      <w:rFonts w:ascii="仿宋_GB2312" w:hAnsi="仿宋_GB2312" w:cs="仿宋_GB2312" w:eastAsia="仿宋_GB2312"/>
                      <w:sz w:val="21"/>
                    </w:rPr>
                    <w:t>服务响应与质量监管：根据活动实际需求，动态调整服务方案，提供</w:t>
                  </w:r>
                  <w:r>
                    <w:rPr>
                      <w:rFonts w:ascii="仿宋_GB2312" w:hAnsi="仿宋_GB2312" w:cs="仿宋_GB2312" w:eastAsia="仿宋_GB2312"/>
                      <w:sz w:val="21"/>
                    </w:rPr>
                    <w:t>7×24</w:t>
                  </w:r>
                  <w:r>
                    <w:rPr>
                      <w:rFonts w:ascii="仿宋_GB2312" w:hAnsi="仿宋_GB2312" w:cs="仿宋_GB2312" w:eastAsia="仿宋_GB2312"/>
                      <w:sz w:val="21"/>
                    </w:rPr>
                    <w:t>小时响应服务，确保服务响应及时、适配性强；建立闭环管理机制，配备专职项目负责人及专业执行团队，保障各项服务按时交付，严控服务质量。</w:t>
                  </w:r>
                </w:p>
                <w:p>
                  <w:pPr>
                    <w:pStyle w:val="null3"/>
                    <w:jc w:val="both"/>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11.活动策划:活动前期工作咨询，活动执行阶段的组织与协调和活动后期的评估总结活动效果等。活动标识识别标准化设计，活动办公系统设计，活动导视系统设计及活动公共关系系统设计等</w:t>
                  </w:r>
                  <w:r>
                    <w:rPr>
                      <w:rFonts w:ascii="仿宋_GB2312" w:hAnsi="仿宋_GB2312" w:cs="仿宋_GB2312" w:eastAsia="仿宋_GB2312"/>
                      <w:sz w:val="21"/>
                      <w:color w:val="000000"/>
                    </w:rPr>
                    <w:t>。</w:t>
                  </w:r>
                </w:p>
                <w:p>
                  <w:pPr>
                    <w:pStyle w:val="null3"/>
                    <w:ind w:firstLine="420"/>
                    <w:jc w:val="both"/>
                  </w:pPr>
                  <w:r>
                    <w:rPr>
                      <w:rFonts w:ascii="仿宋_GB2312" w:hAnsi="仿宋_GB2312" w:cs="仿宋_GB2312" w:eastAsia="仿宋_GB2312"/>
                      <w:sz w:val="21"/>
                      <w:color w:val="000000"/>
                    </w:rPr>
                    <w:t>12.活动布置</w:t>
                  </w:r>
                </w:p>
                <w:p>
                  <w:pPr>
                    <w:pStyle w:val="null3"/>
                    <w:ind w:firstLine="420"/>
                    <w:jc w:val="both"/>
                  </w:pPr>
                  <w:r>
                    <w:rPr>
                      <w:rFonts w:ascii="仿宋_GB2312" w:hAnsi="仿宋_GB2312" w:cs="仿宋_GB2312" w:eastAsia="仿宋_GB2312"/>
                      <w:sz w:val="21"/>
                      <w:color w:val="000000"/>
                    </w:rPr>
                    <w:t>12.1.场地租赁、展台、</w:t>
                  </w:r>
                  <w:r>
                    <w:rPr>
                      <w:rFonts w:ascii="仿宋_GB2312" w:hAnsi="仿宋_GB2312" w:cs="仿宋_GB2312" w:eastAsia="仿宋_GB2312"/>
                      <w:sz w:val="21"/>
                      <w:color w:val="000000"/>
                    </w:rPr>
                    <w:t>展位</w:t>
                  </w:r>
                  <w:r>
                    <w:rPr>
                      <w:rFonts w:ascii="仿宋_GB2312" w:hAnsi="仿宋_GB2312" w:cs="仿宋_GB2312" w:eastAsia="仿宋_GB2312"/>
                      <w:sz w:val="21"/>
                      <w:color w:val="000000"/>
                    </w:rPr>
                    <w:t>搭建、音响系统（包含：音箱功放、音响及控制台、阵线音响系统、便携拉杆音响、返听音箱、话筒）。</w:t>
                  </w:r>
                </w:p>
                <w:p>
                  <w:pPr>
                    <w:pStyle w:val="null3"/>
                    <w:ind w:firstLine="420"/>
                    <w:jc w:val="both"/>
                  </w:pPr>
                  <w:r>
                    <w:rPr>
                      <w:rFonts w:ascii="仿宋_GB2312" w:hAnsi="仿宋_GB2312" w:cs="仿宋_GB2312" w:eastAsia="仿宋_GB2312"/>
                      <w:sz w:val="21"/>
                      <w:color w:val="000000"/>
                    </w:rPr>
                    <w:t>12.2.灯光系统：包含光束灯、LED灯（筒灯）、面光灯、Truss架、灯光控制台、轨道射灯、造型灯带、染色灯（帕灯）、电脑灯、切割灯、LOGO灯、LED灯箱、追光灯。</w:t>
                  </w:r>
                </w:p>
                <w:p>
                  <w:pPr>
                    <w:pStyle w:val="null3"/>
                    <w:ind w:firstLine="420"/>
                    <w:jc w:val="both"/>
                  </w:pPr>
                  <w:r>
                    <w:rPr>
                      <w:rFonts w:ascii="仿宋_GB2312" w:hAnsi="仿宋_GB2312" w:cs="仿宋_GB2312" w:eastAsia="仿宋_GB2312"/>
                      <w:sz w:val="21"/>
                      <w:color w:val="000000"/>
                    </w:rPr>
                    <w:t>12.3.活动主席台系统：包括主席台搭建、延展布置、地毯铺装等。</w:t>
                  </w:r>
                </w:p>
                <w:p>
                  <w:pPr>
                    <w:pStyle w:val="null3"/>
                    <w:ind w:firstLine="420"/>
                    <w:jc w:val="both"/>
                  </w:pPr>
                  <w:r>
                    <w:rPr>
                      <w:rFonts w:ascii="仿宋_GB2312" w:hAnsi="仿宋_GB2312" w:cs="仿宋_GB2312" w:eastAsia="仿宋_GB2312"/>
                      <w:sz w:val="21"/>
                      <w:color w:val="000000"/>
                    </w:rPr>
                    <w:t>12.4.活动设备租赁：包括同声传译设备、电子签约台、发言台等。</w:t>
                  </w:r>
                </w:p>
                <w:p>
                  <w:pPr>
                    <w:pStyle w:val="null3"/>
                    <w:jc w:val="both"/>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13.活动物料</w:t>
                  </w:r>
                </w:p>
                <w:p>
                  <w:pPr>
                    <w:pStyle w:val="null3"/>
                    <w:ind w:firstLine="420"/>
                    <w:jc w:val="both"/>
                  </w:pPr>
                  <w:r>
                    <w:rPr>
                      <w:rFonts w:ascii="仿宋_GB2312" w:hAnsi="仿宋_GB2312" w:cs="仿宋_GB2312" w:eastAsia="仿宋_GB2312"/>
                      <w:sz w:val="21"/>
                      <w:color w:val="000000"/>
                    </w:rPr>
                    <w:t>13.1.基础耗材：包括活动证件、桌牌、宣传活动手册、流程单、资料、海报等。</w:t>
                  </w:r>
                </w:p>
                <w:p>
                  <w:pPr>
                    <w:pStyle w:val="null3"/>
                    <w:ind w:firstLine="420"/>
                    <w:jc w:val="both"/>
                  </w:pPr>
                  <w:r>
                    <w:rPr>
                      <w:rFonts w:ascii="仿宋_GB2312" w:hAnsi="仿宋_GB2312" w:cs="仿宋_GB2312" w:eastAsia="仿宋_GB2312"/>
                      <w:sz w:val="21"/>
                      <w:color w:val="000000"/>
                    </w:rPr>
                    <w:t>13.2.宣传展板</w:t>
                  </w:r>
                </w:p>
                <w:p>
                  <w:pPr>
                    <w:pStyle w:val="null3"/>
                    <w:ind w:firstLine="420"/>
                    <w:jc w:val="both"/>
                  </w:pPr>
                  <w:r>
                    <w:rPr>
                      <w:rFonts w:ascii="仿宋_GB2312" w:hAnsi="仿宋_GB2312" w:cs="仿宋_GB2312" w:eastAsia="仿宋_GB2312"/>
                      <w:sz w:val="21"/>
                      <w:color w:val="000000"/>
                    </w:rPr>
                    <w:t>13.2.1</w:t>
                  </w:r>
                  <w:r>
                    <w:rPr>
                      <w:rFonts w:ascii="仿宋_GB2312" w:hAnsi="仿宋_GB2312" w:cs="仿宋_GB2312" w:eastAsia="仿宋_GB2312"/>
                      <w:sz w:val="21"/>
                      <w:color w:val="000000"/>
                    </w:rPr>
                    <w:t>常规展板</w:t>
                  </w:r>
                  <w:r>
                    <w:rPr>
                      <w:rFonts w:ascii="仿宋_GB2312" w:hAnsi="仿宋_GB2312" w:cs="仿宋_GB2312" w:eastAsia="仿宋_GB2312"/>
                      <w:sz w:val="21"/>
                      <w:color w:val="000000"/>
                    </w:rPr>
                    <w:t>：铝型材海报架</w:t>
                  </w:r>
                  <w:r>
                    <w:rPr>
                      <w:rFonts w:ascii="仿宋_GB2312" w:hAnsi="仿宋_GB2312" w:cs="仿宋_GB2312" w:eastAsia="仿宋_GB2312"/>
                      <w:sz w:val="21"/>
                      <w:color w:val="000000"/>
                    </w:rPr>
                    <w:t>*2、可伸缩铝型材海报架、立屏展架、双面立屏展架、不锈钢宣传栏、户外桁架搭建。</w:t>
                  </w:r>
                </w:p>
                <w:p>
                  <w:pPr>
                    <w:pStyle w:val="null3"/>
                    <w:ind w:firstLine="420"/>
                    <w:jc w:val="both"/>
                  </w:pPr>
                  <w:r>
                    <w:rPr>
                      <w:rFonts w:ascii="仿宋_GB2312" w:hAnsi="仿宋_GB2312" w:cs="仿宋_GB2312" w:eastAsia="仿宋_GB2312"/>
                      <w:sz w:val="21"/>
                      <w:color w:val="000000"/>
                    </w:rPr>
                    <w:t>13.2.2</w:t>
                  </w:r>
                  <w:r>
                    <w:rPr>
                      <w:rFonts w:ascii="仿宋_GB2312" w:hAnsi="仿宋_GB2312" w:cs="仿宋_GB2312" w:eastAsia="仿宋_GB2312"/>
                      <w:sz w:val="21"/>
                      <w:color w:val="000000"/>
                    </w:rPr>
                    <w:t>桁架展板（文化墙</w:t>
                  </w:r>
                  <w:r>
                    <w:rPr>
                      <w:rFonts w:ascii="仿宋_GB2312" w:hAnsi="仿宋_GB2312" w:cs="仿宋_GB2312" w:eastAsia="仿宋_GB2312"/>
                      <w:sz w:val="21"/>
                      <w:color w:val="000000"/>
                    </w:rPr>
                    <w:t>/立体形象墙（含党建墙）</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14.活动实施人员费用：</w:t>
                  </w:r>
                </w:p>
                <w:p>
                  <w:pPr>
                    <w:pStyle w:val="null3"/>
                    <w:ind w:firstLine="420"/>
                    <w:jc w:val="both"/>
                  </w:pPr>
                  <w:r>
                    <w:rPr>
                      <w:rFonts w:ascii="仿宋_GB2312" w:hAnsi="仿宋_GB2312" w:cs="仿宋_GB2312" w:eastAsia="仿宋_GB2312"/>
                      <w:sz w:val="21"/>
                      <w:color w:val="000000"/>
                    </w:rPr>
                    <w:t>专家咨询费、参加人员住宿费、参加人员餐费、同声传译翻译人员、摄影</w:t>
                  </w:r>
                  <w:r>
                    <w:rPr>
                      <w:rFonts w:ascii="仿宋_GB2312" w:hAnsi="仿宋_GB2312" w:cs="仿宋_GB2312" w:eastAsia="仿宋_GB2312"/>
                      <w:sz w:val="21"/>
                      <w:color w:val="000000"/>
                    </w:rPr>
                    <w:t>/摄像人员费、辅助人员费用</w:t>
                  </w:r>
                  <w:r>
                    <w:rPr>
                      <w:rFonts w:ascii="仿宋_GB2312" w:hAnsi="仿宋_GB2312" w:cs="仿宋_GB2312" w:eastAsia="仿宋_GB2312"/>
                      <w:sz w:val="21"/>
                      <w:color w:val="000000"/>
                    </w:rPr>
                    <w:t>（如安保人员、音响师、市场调查人员等）</w:t>
                  </w:r>
                  <w:r>
                    <w:rPr>
                      <w:rFonts w:ascii="仿宋_GB2312" w:hAnsi="仿宋_GB2312" w:cs="仿宋_GB2312" w:eastAsia="仿宋_GB2312"/>
                      <w:sz w:val="21"/>
                      <w:color w:val="000000"/>
                    </w:rPr>
                    <w:t>、车辆租赁费、</w:t>
                  </w:r>
                  <w:r>
                    <w:rPr>
                      <w:rFonts w:ascii="仿宋_GB2312" w:hAnsi="仿宋_GB2312" w:cs="仿宋_GB2312" w:eastAsia="仿宋_GB2312"/>
                      <w:sz w:val="21"/>
                      <w:color w:val="000000"/>
                    </w:rPr>
                    <w:t>LED大屏使用费</w:t>
                  </w:r>
                </w:p>
                <w:p>
                  <w:pPr>
                    <w:pStyle w:val="null3"/>
                    <w:ind w:firstLine="420"/>
                    <w:jc w:val="both"/>
                  </w:pPr>
                  <w:r>
                    <w:rPr>
                      <w:rFonts w:ascii="仿宋_GB2312" w:hAnsi="仿宋_GB2312" w:cs="仿宋_GB2312" w:eastAsia="仿宋_GB2312"/>
                      <w:sz w:val="21"/>
                      <w:color w:val="000000"/>
                    </w:rPr>
                    <w:t>15.</w:t>
                  </w:r>
                  <w:r>
                    <w:rPr>
                      <w:rFonts w:ascii="仿宋_GB2312" w:hAnsi="仿宋_GB2312" w:cs="仿宋_GB2312" w:eastAsia="仿宋_GB2312"/>
                      <w:sz w:val="21"/>
                      <w:color w:val="000000"/>
                    </w:rPr>
                    <w:t>新闻宣传：宣传片、视频直播、摇臂、导播台</w:t>
                  </w:r>
                  <w:r>
                    <w:rPr>
                      <w:rFonts w:ascii="仿宋_GB2312" w:hAnsi="仿宋_GB2312" w:cs="仿宋_GB2312" w:eastAsia="仿宋_GB2312"/>
                      <w:sz w:val="21"/>
                      <w:color w:val="000000"/>
                    </w:rPr>
                    <w:t>。</w:t>
                  </w:r>
                </w:p>
                <w:p>
                  <w:pPr>
                    <w:pStyle w:val="null3"/>
                    <w:ind w:firstLine="420"/>
                    <w:jc w:val="center"/>
                  </w:pPr>
                  <w:r>
                    <w:rPr>
                      <w:rFonts w:ascii="仿宋_GB2312" w:hAnsi="仿宋_GB2312" w:cs="仿宋_GB2312" w:eastAsia="仿宋_GB2312"/>
                      <w:sz w:val="24"/>
                      <w:b/>
                    </w:rPr>
                    <w:t>项目清单</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活动类型及标准</w:t>
                  </w:r>
                </w:p>
                <w:tbl>
                  <w:tblPr>
                    <w:tblBorders>
                      <w:top w:val="none" w:color="000000" w:sz="4"/>
                      <w:left w:val="none" w:color="000000" w:sz="4"/>
                      <w:bottom w:val="none" w:color="000000" w:sz="4"/>
                      <w:right w:val="none" w:color="000000" w:sz="4"/>
                      <w:insideH w:val="none"/>
                      <w:insideV w:val="none"/>
                    </w:tblBorders>
                  </w:tblPr>
                  <w:tblGrid>
                    <w:gridCol w:w="130"/>
                    <w:gridCol w:w="119"/>
                    <w:gridCol w:w="116"/>
                    <w:gridCol w:w="137"/>
                    <w:gridCol w:w="119"/>
                    <w:gridCol w:w="206"/>
                    <w:gridCol w:w="401"/>
                    <w:gridCol w:w="673"/>
                    <w:gridCol w:w="434"/>
                  </w:tblGrid>
                  <w:tr>
                    <w:tc>
                      <w:tcPr>
                        <w:tcW w:type="dxa" w:w="13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11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项目类型</w:t>
                        </w:r>
                      </w:p>
                    </w:tc>
                    <w:tc>
                      <w:tcPr>
                        <w:tcW w:type="dxa" w:w="253"/>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项目名称</w:t>
                        </w:r>
                      </w:p>
                    </w:tc>
                    <w:tc>
                      <w:tcPr>
                        <w:tcW w:type="dxa" w:w="11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w:t>
                        </w:r>
                      </w:p>
                    </w:tc>
                    <w:tc>
                      <w:tcPr>
                        <w:tcW w:type="dxa" w:w="20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数量标准</w:t>
                        </w:r>
                      </w:p>
                    </w:tc>
                    <w:tc>
                      <w:tcPr>
                        <w:tcW w:type="dxa" w:w="40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最高限价（元）</w:t>
                        </w:r>
                      </w:p>
                    </w:tc>
                    <w:tc>
                      <w:tcPr>
                        <w:tcW w:type="dxa" w:w="67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内容说明</w:t>
                        </w:r>
                      </w:p>
                    </w:tc>
                    <w:tc>
                      <w:tcPr>
                        <w:tcW w:type="dxa" w:w="43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适用范围</w:t>
                        </w:r>
                      </w:p>
                    </w:tc>
                  </w:tr>
                  <w:tr>
                    <w:tc>
                      <w:tcPr>
                        <w:tcW w:type="dxa" w:w="130"/>
                        <w:vMerge/>
                        <w:tcBorders>
                          <w:top w:val="single" w:color="000000" w:sz="4"/>
                          <w:left w:val="single" w:color="000000" w:sz="4"/>
                          <w:bottom w:val="single" w:color="000000" w:sz="4"/>
                          <w:right w:val="single" w:color="000000" w:sz="4"/>
                        </w:tcBorders>
                      </w:tcPr>
                      <w:p/>
                    </w:tc>
                    <w:tc>
                      <w:tcPr>
                        <w:tcW w:type="dxa" w:w="119"/>
                        <w:vMerge/>
                        <w:tcBorders>
                          <w:top w:val="single" w:color="000000" w:sz="4"/>
                          <w:left w:val="none" w:color="000000" w:sz="4"/>
                          <w:bottom w:val="single" w:color="000000" w:sz="4"/>
                          <w:right w:val="single" w:color="000000" w:sz="4"/>
                        </w:tcBorders>
                      </w:tcPr>
                      <w:p/>
                    </w:tc>
                    <w:tc>
                      <w:tcPr>
                        <w:tcW w:type="dxa" w:w="253"/>
                        <w:gridSpan w:val="2"/>
                        <w:vMerge/>
                        <w:tcBorders>
                          <w:top w:val="single" w:color="000000" w:sz="4"/>
                          <w:left w:val="none" w:color="000000" w:sz="4"/>
                          <w:bottom w:val="single" w:color="000000" w:sz="4"/>
                          <w:right w:val="single" w:color="000000" w:sz="4"/>
                        </w:tcBorders>
                      </w:tcPr>
                      <w:p/>
                    </w:tc>
                    <w:tc>
                      <w:tcPr>
                        <w:tcW w:type="dxa" w:w="119"/>
                        <w:vMerge/>
                        <w:tcBorders>
                          <w:top w:val="single" w:color="000000" w:sz="4"/>
                          <w:left w:val="none" w:color="000000" w:sz="4"/>
                          <w:bottom w:val="single" w:color="000000" w:sz="4"/>
                          <w:right w:val="single" w:color="000000" w:sz="4"/>
                        </w:tcBorders>
                      </w:tcPr>
                      <w:p/>
                    </w:tc>
                    <w:tc>
                      <w:tcPr>
                        <w:tcW w:type="dxa" w:w="206"/>
                        <w:vMerge/>
                        <w:tcBorders>
                          <w:top w:val="single" w:color="000000" w:sz="4"/>
                          <w:left w:val="none" w:color="000000" w:sz="4"/>
                          <w:bottom w:val="single" w:color="000000" w:sz="4"/>
                          <w:right w:val="single" w:color="000000" w:sz="4"/>
                        </w:tcBorders>
                      </w:tcPr>
                      <w:p/>
                    </w:tc>
                    <w:tc>
                      <w:tcPr>
                        <w:tcW w:type="dxa" w:w="401"/>
                        <w:vMerge/>
                        <w:tcBorders>
                          <w:top w:val="single" w:color="000000" w:sz="4"/>
                          <w:left w:val="none" w:color="000000" w:sz="4"/>
                          <w:bottom w:val="single" w:color="000000" w:sz="4"/>
                          <w:right w:val="single" w:color="000000" w:sz="4"/>
                        </w:tcBorders>
                      </w:tcP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1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1活动策划</w:t>
                        </w:r>
                      </w:p>
                    </w:tc>
                    <w:tc>
                      <w:tcPr>
                        <w:tcW w:type="dxa" w:w="253"/>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策划设计费</w:t>
                        </w:r>
                      </w:p>
                    </w:tc>
                    <w:tc>
                      <w:tcPr>
                        <w:tcW w:type="dxa" w:w="1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元</w:t>
                        </w:r>
                        <w:r>
                          <w:rPr>
                            <w:rFonts w:ascii="仿宋_GB2312" w:hAnsi="仿宋_GB2312" w:cs="仿宋_GB2312" w:eastAsia="仿宋_GB2312"/>
                            <w:sz w:val="21"/>
                            <w:color w:val="000000"/>
                          </w:rPr>
                          <w:t>/场次</w:t>
                        </w:r>
                      </w:p>
                    </w:tc>
                    <w:tc>
                      <w:tcPr>
                        <w:tcW w:type="dxa" w:w="2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32500</w:t>
                        </w:r>
                      </w:p>
                    </w:tc>
                    <w:tc>
                      <w:tcPr>
                        <w:tcW w:type="dxa" w:w="6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19"/>
                        <w:vMerge/>
                        <w:tcBorders>
                          <w:top w:val="none" w:color="000000" w:sz="4"/>
                          <w:left w:val="none" w:color="000000" w:sz="4"/>
                          <w:bottom w:val="single" w:color="000000" w:sz="4"/>
                          <w:right w:val="single" w:color="000000" w:sz="4"/>
                        </w:tcBorders>
                      </w:tcPr>
                      <w:p/>
                    </w:tc>
                    <w:tc>
                      <w:tcPr>
                        <w:tcW w:type="dxa" w:w="253"/>
                        <w:gridSpan w:val="2"/>
                        <w:vMerge/>
                        <w:tcBorders>
                          <w:top w:val="none" w:color="000000" w:sz="4"/>
                          <w:left w:val="none" w:color="000000" w:sz="4"/>
                          <w:bottom w:val="single" w:color="000000" w:sz="4"/>
                          <w:right w:val="single" w:color="000000" w:sz="4"/>
                        </w:tcBorders>
                      </w:tcPr>
                      <w:p/>
                    </w:tc>
                    <w:tc>
                      <w:tcPr>
                        <w:tcW w:type="dxa" w:w="119"/>
                        <w:vMerge/>
                        <w:tcBorders>
                          <w:top w:val="none" w:color="000000" w:sz="4"/>
                          <w:left w:val="none" w:color="000000" w:sz="4"/>
                          <w:bottom w:val="single" w:color="000000" w:sz="4"/>
                          <w:right w:val="single" w:color="000000" w:sz="4"/>
                        </w:tcBorders>
                      </w:tcPr>
                      <w:p/>
                    </w:tc>
                    <w:tc>
                      <w:tcPr>
                        <w:tcW w:type="dxa" w:w="206"/>
                        <w:vMerge/>
                        <w:tcBorders>
                          <w:top w:val="none" w:color="000000" w:sz="4"/>
                          <w:left w:val="none" w:color="000000" w:sz="4"/>
                          <w:bottom w:val="single" w:color="000000" w:sz="4"/>
                          <w:right w:val="single" w:color="000000" w:sz="4"/>
                        </w:tcBorders>
                      </w:tcPr>
                      <w:p/>
                    </w:tc>
                    <w:tc>
                      <w:tcPr>
                        <w:tcW w:type="dxa" w:w="401"/>
                        <w:vMerge/>
                        <w:tcBorders>
                          <w:top w:val="none" w:color="000000" w:sz="4"/>
                          <w:left w:val="none" w:color="000000" w:sz="4"/>
                          <w:bottom w:val="single" w:color="000000" w:sz="4"/>
                          <w:right w:val="single" w:color="000000" w:sz="4"/>
                        </w:tcBorders>
                      </w:tcPr>
                      <w:p/>
                    </w:tc>
                  </w:tr>
                  <w:tr>
                    <w:tc>
                      <w:tcPr>
                        <w:tcW w:type="dxa" w:w="1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1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2活动布置</w:t>
                        </w:r>
                      </w:p>
                    </w:tc>
                    <w:tc>
                      <w:tcPr>
                        <w:tcW w:type="dxa" w:w="1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场地租赁</w:t>
                        </w:r>
                      </w:p>
                    </w:tc>
                    <w:tc>
                      <w:tcPr>
                        <w:tcW w:type="dxa" w:w="1970"/>
                        <w:gridSpan w:val="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此项无最高限价，</w:t>
                        </w:r>
                        <w:r>
                          <w:rPr>
                            <w:rFonts w:ascii="仿宋_GB2312" w:hAnsi="仿宋_GB2312" w:cs="仿宋_GB2312" w:eastAsia="仿宋_GB2312"/>
                            <w:sz w:val="21"/>
                            <w:color w:val="000000"/>
                          </w:rPr>
                          <w:t>面积不小于</w:t>
                        </w:r>
                        <w:r>
                          <w:rPr>
                            <w:rFonts w:ascii="仿宋_GB2312" w:hAnsi="仿宋_GB2312" w:cs="仿宋_GB2312" w:eastAsia="仿宋_GB2312"/>
                            <w:sz w:val="21"/>
                            <w:color w:val="000000"/>
                          </w:rPr>
                          <w:t>1000平</w:t>
                        </w:r>
                      </w:p>
                    </w:tc>
                  </w:tr>
                  <w:tr>
                    <w:tc>
                      <w:tcPr>
                        <w:tcW w:type="dxa" w:w="130"/>
                        <w:vMerge/>
                        <w:tcBorders>
                          <w:top w:val="none" w:color="000000" w:sz="4"/>
                          <w:left w:val="single" w:color="000000" w:sz="4"/>
                          <w:bottom w:val="single" w:color="000000" w:sz="4"/>
                          <w:right w:val="single" w:color="000000" w:sz="4"/>
                        </w:tcBorders>
                      </w:tcPr>
                      <w:p/>
                    </w:tc>
                    <w:tc>
                      <w:tcPr>
                        <w:tcW w:type="dxa" w:w="119"/>
                        <w:vMerge/>
                        <w:tcBorders>
                          <w:top w:val="none" w:color="000000" w:sz="4"/>
                          <w:left w:val="none" w:color="000000" w:sz="4"/>
                          <w:bottom w:val="single" w:color="000000" w:sz="4"/>
                          <w:right w:val="single" w:color="000000" w:sz="4"/>
                        </w:tcBorders>
                      </w:tcPr>
                      <w:p/>
                    </w:tc>
                    <w:tc>
                      <w:tcPr>
                        <w:tcW w:type="dxa" w:w="116"/>
                        <w:vMerge/>
                        <w:tcBorders>
                          <w:top w:val="none" w:color="000000" w:sz="4"/>
                          <w:left w:val="none" w:color="000000" w:sz="4"/>
                          <w:bottom w:val="single" w:color="000000" w:sz="4"/>
                          <w:right w:val="single" w:color="000000" w:sz="4"/>
                        </w:tcBorders>
                      </w:tcPr>
                      <w:p/>
                    </w:tc>
                    <w:tc>
                      <w:tcPr>
                        <w:tcW w:type="dxa" w:w="1970"/>
                        <w:gridSpan w:val="6"/>
                        <w:vMerge/>
                        <w:tcBorders>
                          <w:top w:val="none" w:color="000000" w:sz="4"/>
                          <w:left w:val="none" w:color="000000" w:sz="4"/>
                          <w:bottom w:val="single" w:color="000000" w:sz="4"/>
                          <w:right w:val="single" w:color="000000" w:sz="4"/>
                        </w:tcBorders>
                      </w:tcPr>
                      <w:p/>
                    </w:tc>
                  </w:tr>
                  <w:tr>
                    <w:tc>
                      <w:tcPr>
                        <w:tcW w:type="dxa" w:w="130"/>
                        <w:vMerge/>
                        <w:tcBorders>
                          <w:top w:val="none" w:color="000000" w:sz="4"/>
                          <w:left w:val="single" w:color="000000" w:sz="4"/>
                          <w:bottom w:val="single" w:color="000000" w:sz="4"/>
                          <w:right w:val="single" w:color="000000" w:sz="4"/>
                        </w:tcBorders>
                      </w:tcPr>
                      <w:p/>
                    </w:tc>
                    <w:tc>
                      <w:tcPr>
                        <w:tcW w:type="dxa" w:w="119"/>
                        <w:vMerge/>
                        <w:tcBorders>
                          <w:top w:val="none" w:color="000000" w:sz="4"/>
                          <w:left w:val="none" w:color="000000" w:sz="4"/>
                          <w:bottom w:val="single" w:color="000000" w:sz="4"/>
                          <w:right w:val="single" w:color="000000" w:sz="4"/>
                        </w:tcBorders>
                      </w:tcPr>
                      <w:p/>
                    </w:tc>
                    <w:tc>
                      <w:tcPr>
                        <w:tcW w:type="dxa" w:w="116"/>
                        <w:vMerge/>
                        <w:tcBorders>
                          <w:top w:val="none" w:color="000000" w:sz="4"/>
                          <w:left w:val="none" w:color="000000" w:sz="4"/>
                          <w:bottom w:val="single" w:color="000000" w:sz="4"/>
                          <w:right w:val="single" w:color="000000" w:sz="4"/>
                        </w:tcBorders>
                      </w:tcPr>
                      <w:p/>
                    </w:tc>
                    <w:tc>
                      <w:tcPr>
                        <w:tcW w:type="dxa" w:w="1970"/>
                        <w:gridSpan w:val="6"/>
                        <w:vMerge/>
                        <w:tcBorders>
                          <w:top w:val="none" w:color="000000" w:sz="4"/>
                          <w:left w:val="none" w:color="000000" w:sz="4"/>
                          <w:bottom w:val="single" w:color="000000" w:sz="4"/>
                          <w:right w:val="single" w:color="000000" w:sz="4"/>
                        </w:tcBorders>
                      </w:tcP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119"/>
                        <w:vMerge/>
                        <w:tcBorders>
                          <w:top w:val="none" w:color="000000" w:sz="4"/>
                          <w:left w:val="none" w:color="000000" w:sz="4"/>
                          <w:bottom w:val="single" w:color="000000" w:sz="4"/>
                          <w:right w:val="single" w:color="000000" w:sz="4"/>
                        </w:tcBorders>
                      </w:tcPr>
                      <w:p/>
                    </w:tc>
                    <w:tc>
                      <w:tcPr>
                        <w:tcW w:type="dxa" w:w="116"/>
                        <w:vMerge/>
                        <w:tcBorders>
                          <w:top w:val="none" w:color="000000" w:sz="4"/>
                          <w:left w:val="none" w:color="000000" w:sz="4"/>
                          <w:bottom w:val="single" w:color="000000" w:sz="4"/>
                          <w:right w:val="single" w:color="000000" w:sz="4"/>
                        </w:tcBorders>
                      </w:tcPr>
                      <w:p/>
                    </w:tc>
                    <w:tc>
                      <w:tcPr>
                        <w:tcW w:type="dxa" w:w="1970"/>
                        <w:gridSpan w:val="6"/>
                        <w:vMerge/>
                        <w:tcBorders>
                          <w:top w:val="none" w:color="000000" w:sz="4"/>
                          <w:left w:val="none" w:color="000000" w:sz="4"/>
                          <w:bottom w:val="single" w:color="000000" w:sz="4"/>
                          <w:right w:val="single" w:color="000000" w:sz="4"/>
                        </w:tcBorders>
                      </w:tcP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119"/>
                        <w:vMerge/>
                        <w:tcBorders>
                          <w:top w:val="none" w:color="000000" w:sz="4"/>
                          <w:left w:val="none" w:color="000000" w:sz="4"/>
                          <w:bottom w:val="single" w:color="000000" w:sz="4"/>
                          <w:right w:val="single" w:color="000000" w:sz="4"/>
                        </w:tcBorders>
                      </w:tcPr>
                      <w:p/>
                    </w:tc>
                    <w:tc>
                      <w:tcPr>
                        <w:tcW w:type="dxa" w:w="116"/>
                        <w:vMerge/>
                        <w:tcBorders>
                          <w:top w:val="none" w:color="000000" w:sz="4"/>
                          <w:left w:val="none" w:color="000000" w:sz="4"/>
                          <w:bottom w:val="single" w:color="000000" w:sz="4"/>
                          <w:right w:val="single" w:color="000000" w:sz="4"/>
                        </w:tcBorders>
                      </w:tcPr>
                      <w:p/>
                    </w:tc>
                    <w:tc>
                      <w:tcPr>
                        <w:tcW w:type="dxa" w:w="1970"/>
                        <w:gridSpan w:val="6"/>
                        <w:vMerge/>
                        <w:tcBorders>
                          <w:top w:val="none" w:color="000000" w:sz="4"/>
                          <w:left w:val="none" w:color="000000" w:sz="4"/>
                          <w:bottom w:val="single" w:color="000000" w:sz="4"/>
                          <w:right w:val="single" w:color="000000" w:sz="4"/>
                        </w:tcBorders>
                      </w:tcP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19"/>
                        <w:vMerge/>
                        <w:tcBorders>
                          <w:top w:val="none" w:color="000000" w:sz="4"/>
                          <w:left w:val="none" w:color="000000" w:sz="4"/>
                          <w:bottom w:val="single" w:color="000000" w:sz="4"/>
                          <w:right w:val="single" w:color="000000" w:sz="4"/>
                        </w:tcBorders>
                      </w:tcP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展台</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展台</w:t>
                        </w:r>
                      </w:p>
                    </w:tc>
                    <w:tc>
                      <w:tcPr>
                        <w:tcW w:type="dxa" w:w="1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元</w:t>
                        </w:r>
                        <w:r>
                          <w:rPr>
                            <w:rFonts w:ascii="仿宋_GB2312" w:hAnsi="仿宋_GB2312" w:cs="仿宋_GB2312" w:eastAsia="仿宋_GB2312"/>
                            <w:sz w:val="21"/>
                            <w:color w:val="000000"/>
                          </w:rPr>
                          <w:t>/平方米</w:t>
                        </w:r>
                      </w:p>
                    </w:tc>
                    <w:tc>
                      <w:tcPr>
                        <w:tcW w:type="dxa" w:w="2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6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119"/>
                        <w:vMerge/>
                        <w:tcBorders>
                          <w:top w:val="none" w:color="000000" w:sz="4"/>
                          <w:left w:val="none" w:color="000000" w:sz="4"/>
                          <w:bottom w:val="single" w:color="000000" w:sz="4"/>
                          <w:right w:val="single" w:color="000000" w:sz="4"/>
                        </w:tcBorders>
                      </w:tcP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搭建</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展位搭建</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元</w:t>
                        </w:r>
                        <w:r>
                          <w:rPr>
                            <w:rFonts w:ascii="仿宋_GB2312" w:hAnsi="仿宋_GB2312" w:cs="仿宋_GB2312" w:eastAsia="仿宋_GB2312"/>
                            <w:sz w:val="21"/>
                            <w:color w:val="000000"/>
                          </w:rPr>
                          <w:t>/个</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≤460</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标准为</w:t>
                        </w:r>
                        <w:r>
                          <w:rPr>
                            <w:rFonts w:ascii="仿宋_GB2312" w:hAnsi="仿宋_GB2312" w:cs="仿宋_GB2312" w:eastAsia="仿宋_GB2312"/>
                            <w:sz w:val="21"/>
                            <w:color w:val="000000"/>
                          </w:rPr>
                          <w:t>不小于</w:t>
                        </w:r>
                        <w:r>
                          <w:rPr>
                            <w:rFonts w:ascii="仿宋_GB2312" w:hAnsi="仿宋_GB2312" w:cs="仿宋_GB2312" w:eastAsia="仿宋_GB2312"/>
                            <w:sz w:val="21"/>
                            <w:color w:val="000000"/>
                          </w:rPr>
                          <w:t>3M*3M。</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119"/>
                        <w:vMerge/>
                        <w:tcBorders>
                          <w:top w:val="none" w:color="000000" w:sz="4"/>
                          <w:left w:val="none" w:color="000000" w:sz="4"/>
                          <w:bottom w:val="single" w:color="000000" w:sz="4"/>
                          <w:right w:val="single" w:color="000000" w:sz="4"/>
                        </w:tcBorders>
                      </w:tcPr>
                      <w:p/>
                    </w:tc>
                    <w:tc>
                      <w:tcPr>
                        <w:tcW w:type="dxa" w:w="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音响系统</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详见项目清单</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包括音箱、无线话筒等。</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119"/>
                        <w:vMerge/>
                        <w:tcBorders>
                          <w:top w:val="none" w:color="000000" w:sz="4"/>
                          <w:left w:val="none" w:color="000000" w:sz="4"/>
                          <w:bottom w:val="single" w:color="000000" w:sz="4"/>
                          <w:right w:val="single" w:color="000000" w:sz="4"/>
                        </w:tcBorders>
                      </w:tcPr>
                      <w:p/>
                    </w:tc>
                    <w:tc>
                      <w:tcPr>
                        <w:tcW w:type="dxa" w:w="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灯光系统</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详见项目清单</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包括光束灯、帕灯、面光、灯光控台、灯光架等。</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119"/>
                        <w:vMerge/>
                        <w:tcBorders>
                          <w:top w:val="none" w:color="000000" w:sz="4"/>
                          <w:left w:val="none" w:color="000000" w:sz="4"/>
                          <w:bottom w:val="single" w:color="000000" w:sz="4"/>
                          <w:right w:val="single" w:color="000000" w:sz="4"/>
                        </w:tcBorders>
                      </w:tcPr>
                      <w:p/>
                    </w:tc>
                    <w:tc>
                      <w:tcPr>
                        <w:tcW w:type="dxa" w:w="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活动主席台系统</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元</w:t>
                        </w:r>
                        <w:r>
                          <w:rPr>
                            <w:rFonts w:ascii="仿宋_GB2312" w:hAnsi="仿宋_GB2312" w:cs="仿宋_GB2312" w:eastAsia="仿宋_GB2312"/>
                            <w:sz w:val="21"/>
                            <w:color w:val="000000"/>
                          </w:rPr>
                          <w:t>/平方米</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119"/>
                        <w:vMerge/>
                        <w:tcBorders>
                          <w:top w:val="none" w:color="000000" w:sz="4"/>
                          <w:left w:val="none" w:color="000000" w:sz="4"/>
                          <w:bottom w:val="single" w:color="000000" w:sz="4"/>
                          <w:right w:val="single" w:color="000000" w:sz="4"/>
                        </w:tcBorders>
                      </w:tcPr>
                      <w:p/>
                    </w:tc>
                    <w:tc>
                      <w:tcPr>
                        <w:tcW w:type="dxa" w:w="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活动设备租赁</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元</w:t>
                        </w:r>
                        <w:r>
                          <w:rPr>
                            <w:rFonts w:ascii="仿宋_GB2312" w:hAnsi="仿宋_GB2312" w:cs="仿宋_GB2312" w:eastAsia="仿宋_GB2312"/>
                            <w:sz w:val="21"/>
                            <w:color w:val="000000"/>
                          </w:rPr>
                          <w:t>/套</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如竞赛答题设备、技能比武实操设备、同声传译设备</w:t>
                        </w:r>
                        <w:r>
                          <w:rPr>
                            <w:rFonts w:ascii="仿宋_GB2312" w:hAnsi="仿宋_GB2312" w:cs="仿宋_GB2312" w:eastAsia="仿宋_GB2312"/>
                            <w:sz w:val="21"/>
                            <w:color w:val="000000"/>
                          </w:rPr>
                          <w:t>不少于</w:t>
                        </w:r>
                        <w:r>
                          <w:rPr>
                            <w:rFonts w:ascii="仿宋_GB2312" w:hAnsi="仿宋_GB2312" w:cs="仿宋_GB2312" w:eastAsia="仿宋_GB2312"/>
                            <w:sz w:val="21"/>
                            <w:color w:val="000000"/>
                          </w:rPr>
                          <w:t>240套</w:t>
                        </w:r>
                        <w:r>
                          <w:rPr>
                            <w:rFonts w:ascii="仿宋_GB2312" w:hAnsi="仿宋_GB2312" w:cs="仿宋_GB2312" w:eastAsia="仿宋_GB2312"/>
                            <w:sz w:val="21"/>
                            <w:color w:val="000000"/>
                          </w:rPr>
                          <w:t>、电子签约台、发言台等租赁</w:t>
                        </w:r>
                        <w:r>
                          <w:rPr>
                            <w:rFonts w:ascii="仿宋_GB2312" w:hAnsi="仿宋_GB2312" w:cs="仿宋_GB2312" w:eastAsia="仿宋_GB2312"/>
                            <w:sz w:val="21"/>
                            <w:color w:val="000000"/>
                          </w:rPr>
                          <w:t>。</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1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3活动物料</w:t>
                        </w:r>
                      </w:p>
                    </w:tc>
                    <w:tc>
                      <w:tcPr>
                        <w:tcW w:type="dxa" w:w="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基础耗材</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元</w:t>
                        </w:r>
                        <w:r>
                          <w:rPr>
                            <w:rFonts w:ascii="仿宋_GB2312" w:hAnsi="仿宋_GB2312" w:cs="仿宋_GB2312" w:eastAsia="仿宋_GB2312"/>
                            <w:sz w:val="21"/>
                            <w:color w:val="000000"/>
                          </w:rPr>
                          <w:t>/人</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119"/>
                        <w:vMerge/>
                        <w:tcBorders>
                          <w:top w:val="none" w:color="000000" w:sz="4"/>
                          <w:left w:val="none" w:color="000000" w:sz="4"/>
                          <w:bottom w:val="single" w:color="000000" w:sz="4"/>
                          <w:right w:val="single" w:color="000000" w:sz="4"/>
                        </w:tcBorders>
                      </w:tcPr>
                      <w:p/>
                    </w:tc>
                    <w:tc>
                      <w:tcPr>
                        <w:tcW w:type="dxa" w:w="1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宣传展板</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常规展板</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元</w:t>
                        </w:r>
                        <w:r>
                          <w:rPr>
                            <w:rFonts w:ascii="仿宋_GB2312" w:hAnsi="仿宋_GB2312" w:cs="仿宋_GB2312" w:eastAsia="仿宋_GB2312"/>
                            <w:sz w:val="21"/>
                            <w:color w:val="000000"/>
                          </w:rPr>
                          <w:t>/套</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详见项目清单</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包括材料费、设计费、人工费及运费等；根据实际需求</w:t>
                        </w:r>
                        <w:r>
                          <w:rPr>
                            <w:rFonts w:ascii="仿宋_GB2312" w:hAnsi="仿宋_GB2312" w:cs="仿宋_GB2312" w:eastAsia="仿宋_GB2312"/>
                            <w:sz w:val="21"/>
                            <w:color w:val="000000"/>
                          </w:rPr>
                          <w:t>。</w:t>
                        </w:r>
                      </w:p>
                    </w:tc>
                    <w:tc>
                      <w:tcPr>
                        <w:tcW w:type="dxa" w:w="4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119"/>
                        <w:vMerge/>
                        <w:tcBorders>
                          <w:top w:val="none" w:color="000000" w:sz="4"/>
                          <w:left w:val="none" w:color="000000" w:sz="4"/>
                          <w:bottom w:val="single" w:color="000000" w:sz="4"/>
                          <w:right w:val="single" w:color="000000" w:sz="4"/>
                        </w:tcBorders>
                      </w:tcPr>
                      <w:p/>
                    </w:tc>
                    <w:tc>
                      <w:tcPr>
                        <w:tcW w:type="dxa" w:w="116"/>
                        <w:vMerge/>
                        <w:tcBorders>
                          <w:top w:val="none" w:color="000000" w:sz="4"/>
                          <w:left w:val="none" w:color="000000" w:sz="4"/>
                          <w:bottom w:val="single" w:color="000000" w:sz="4"/>
                          <w:right w:val="single" w:color="000000" w:sz="4"/>
                        </w:tcBorders>
                      </w:tcP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桁架展板</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元</w:t>
                        </w:r>
                        <w:r>
                          <w:rPr>
                            <w:rFonts w:ascii="仿宋_GB2312" w:hAnsi="仿宋_GB2312" w:cs="仿宋_GB2312" w:eastAsia="仿宋_GB2312"/>
                            <w:sz w:val="21"/>
                            <w:color w:val="000000"/>
                          </w:rPr>
                          <w:t>/平方米</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≤130</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包括材料费、设计费、人工费及运费等，尺寸按照需要的实际情况。</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文化墙</w:t>
                        </w:r>
                        <w:r>
                          <w:rPr>
                            <w:rFonts w:ascii="仿宋_GB2312" w:hAnsi="仿宋_GB2312" w:cs="仿宋_GB2312" w:eastAsia="仿宋_GB2312"/>
                            <w:sz w:val="21"/>
                            <w:color w:val="000000"/>
                          </w:rPr>
                          <w:t>/立体形象墙（含党建墙），单层的，标准不超过桁架展板的2倍；双层的，标准不超过桁架展板的3倍。</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1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4活动实施</w:t>
                        </w:r>
                      </w:p>
                    </w:tc>
                    <w:tc>
                      <w:tcPr>
                        <w:tcW w:type="dxa" w:w="1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人员费用</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专家咨询费</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元</w:t>
                        </w:r>
                        <w:r>
                          <w:rPr>
                            <w:rFonts w:ascii="仿宋_GB2312" w:hAnsi="仿宋_GB2312" w:cs="仿宋_GB2312" w:eastAsia="仿宋_GB2312"/>
                            <w:sz w:val="21"/>
                            <w:color w:val="000000"/>
                          </w:rPr>
                          <w:t>/人/天</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人数不得超过活动总人数的</w:t>
                        </w:r>
                        <w:r>
                          <w:rPr>
                            <w:rFonts w:ascii="仿宋_GB2312" w:hAnsi="仿宋_GB2312" w:cs="仿宋_GB2312" w:eastAsia="仿宋_GB2312"/>
                            <w:sz w:val="21"/>
                            <w:color w:val="000000"/>
                          </w:rPr>
                          <w:t>5%</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2000-3500</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参照中央财政科研项目专家咨询费管理办法、省直机关劳务服务费支出预算标准。院士</w:t>
                        </w:r>
                        <w:r>
                          <w:rPr>
                            <w:rFonts w:ascii="仿宋_GB2312" w:hAnsi="仿宋_GB2312" w:cs="仿宋_GB2312" w:eastAsia="仿宋_GB2312"/>
                            <w:sz w:val="21"/>
                            <w:color w:val="000000"/>
                          </w:rPr>
                          <w:t>/全国知名专家≤3500元/天，高级或同等职称≤2000元/天。</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c>
                      <w:tcPr>
                        <w:tcW w:type="dxa" w:w="119"/>
                        <w:vMerge/>
                        <w:tcBorders>
                          <w:top w:val="none" w:color="000000" w:sz="4"/>
                          <w:left w:val="none" w:color="000000" w:sz="4"/>
                          <w:bottom w:val="single" w:color="000000" w:sz="4"/>
                          <w:right w:val="single" w:color="000000" w:sz="4"/>
                        </w:tcBorders>
                      </w:tcPr>
                      <w:p/>
                    </w:tc>
                    <w:tc>
                      <w:tcPr>
                        <w:tcW w:type="dxa" w:w="116"/>
                        <w:vMerge/>
                        <w:tcBorders>
                          <w:top w:val="none" w:color="000000" w:sz="4"/>
                          <w:left w:val="none" w:color="000000" w:sz="4"/>
                          <w:bottom w:val="single" w:color="000000" w:sz="4"/>
                          <w:right w:val="single" w:color="000000" w:sz="4"/>
                        </w:tcBorders>
                      </w:tcP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参加人员住宿费</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元</w:t>
                        </w:r>
                        <w:r>
                          <w:rPr>
                            <w:rFonts w:ascii="仿宋_GB2312" w:hAnsi="仿宋_GB2312" w:cs="仿宋_GB2312" w:eastAsia="仿宋_GB2312"/>
                            <w:sz w:val="21"/>
                            <w:color w:val="000000"/>
                          </w:rPr>
                          <w:t>/天</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230-800</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参照省差旅费管理办法，以西安为例，区分人员级别，省级</w:t>
                        </w:r>
                        <w:r>
                          <w:rPr>
                            <w:rFonts w:ascii="仿宋_GB2312" w:hAnsi="仿宋_GB2312" w:cs="仿宋_GB2312" w:eastAsia="仿宋_GB2312"/>
                            <w:sz w:val="21"/>
                            <w:color w:val="000000"/>
                          </w:rPr>
                          <w:t>800元/人、厅局级460元/人，其他人员（2人/间）350元。</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w:t>
                        </w:r>
                      </w:p>
                    </w:tc>
                    <w:tc>
                      <w:tcPr>
                        <w:tcW w:type="dxa" w:w="119"/>
                        <w:vMerge/>
                        <w:tcBorders>
                          <w:top w:val="none" w:color="000000" w:sz="4"/>
                          <w:left w:val="none" w:color="000000" w:sz="4"/>
                          <w:bottom w:val="single" w:color="000000" w:sz="4"/>
                          <w:right w:val="single" w:color="000000" w:sz="4"/>
                        </w:tcBorders>
                      </w:tcPr>
                      <w:p/>
                    </w:tc>
                    <w:tc>
                      <w:tcPr>
                        <w:tcW w:type="dxa" w:w="116"/>
                        <w:vMerge/>
                        <w:tcBorders>
                          <w:top w:val="none" w:color="000000" w:sz="4"/>
                          <w:left w:val="none" w:color="000000" w:sz="4"/>
                          <w:bottom w:val="single" w:color="000000" w:sz="4"/>
                          <w:right w:val="single" w:color="000000" w:sz="4"/>
                        </w:tcBorders>
                      </w:tcP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参加人员餐费</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元</w:t>
                        </w:r>
                        <w:r>
                          <w:rPr>
                            <w:rFonts w:ascii="仿宋_GB2312" w:hAnsi="仿宋_GB2312" w:cs="仿宋_GB2312" w:eastAsia="仿宋_GB2312"/>
                            <w:sz w:val="21"/>
                            <w:color w:val="000000"/>
                          </w:rPr>
                          <w:t>/人/天</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参照差旅费管理办法。</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1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w:t>
                        </w:r>
                      </w:p>
                    </w:tc>
                    <w:tc>
                      <w:tcPr>
                        <w:tcW w:type="dxa" w:w="119"/>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4活动实施</w:t>
                        </w:r>
                      </w:p>
                    </w:tc>
                    <w:tc>
                      <w:tcPr>
                        <w:tcW w:type="dxa" w:w="1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人员费用</w:t>
                        </w:r>
                      </w:p>
                    </w:tc>
                    <w:tc>
                      <w:tcPr>
                        <w:tcW w:type="dxa" w:w="1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同声传译翻译人员</w:t>
                        </w:r>
                      </w:p>
                    </w:tc>
                    <w:tc>
                      <w:tcPr>
                        <w:tcW w:type="dxa" w:w="1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元</w:t>
                        </w:r>
                        <w:r>
                          <w:rPr>
                            <w:rFonts w:ascii="仿宋_GB2312" w:hAnsi="仿宋_GB2312" w:cs="仿宋_GB2312" w:eastAsia="仿宋_GB2312"/>
                            <w:sz w:val="21"/>
                            <w:color w:val="000000"/>
                          </w:rPr>
                          <w:t>/人/天</w:t>
                        </w:r>
                      </w:p>
                    </w:tc>
                    <w:tc>
                      <w:tcPr>
                        <w:tcW w:type="dxa" w:w="2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≤5000</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1、费用标准以英文为例；其他语种可上浮20%-50%。</w:t>
                        </w:r>
                      </w:p>
                    </w:tc>
                    <w:tc>
                      <w:tcPr>
                        <w:tcW w:type="dxa" w:w="4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仅适用于涉外活动，如外国政要、国际组织主要成员等参与的。</w:t>
                        </w:r>
                      </w:p>
                    </w:tc>
                  </w:tr>
                  <w:tr>
                    <w:tc>
                      <w:tcPr>
                        <w:tcW w:type="dxa" w:w="130"/>
                        <w:vMerge/>
                        <w:tcBorders>
                          <w:top w:val="none" w:color="000000" w:sz="4"/>
                          <w:left w:val="single" w:color="000000" w:sz="4"/>
                          <w:bottom w:val="single" w:color="000000" w:sz="4"/>
                          <w:right w:val="single" w:color="000000" w:sz="4"/>
                        </w:tcBorders>
                      </w:tcPr>
                      <w:p/>
                    </w:tc>
                    <w:tc>
                      <w:tcPr>
                        <w:tcW w:type="dxa" w:w="119"/>
                        <w:vMerge/>
                        <w:tcBorders>
                          <w:top w:val="none" w:color="000000" w:sz="4"/>
                          <w:left w:val="none" w:color="000000" w:sz="4"/>
                          <w:bottom w:val="none" w:color="000000" w:sz="4"/>
                          <w:right w:val="single" w:color="000000" w:sz="4"/>
                        </w:tcBorders>
                      </w:tcPr>
                      <w:p/>
                    </w:tc>
                    <w:tc>
                      <w:tcPr>
                        <w:tcW w:type="dxa" w:w="116"/>
                        <w:vMerge/>
                        <w:tcBorders>
                          <w:top w:val="none" w:color="000000" w:sz="4"/>
                          <w:left w:val="none" w:color="000000" w:sz="4"/>
                          <w:bottom w:val="single" w:color="000000" w:sz="4"/>
                          <w:right w:val="single" w:color="000000" w:sz="4"/>
                        </w:tcBorders>
                      </w:tcPr>
                      <w:p/>
                    </w:tc>
                    <w:tc>
                      <w:tcPr>
                        <w:tcW w:type="dxa" w:w="137"/>
                        <w:vMerge/>
                        <w:tcBorders>
                          <w:top w:val="none" w:color="000000" w:sz="4"/>
                          <w:left w:val="none" w:color="000000" w:sz="4"/>
                          <w:bottom w:val="single" w:color="000000" w:sz="4"/>
                          <w:right w:val="single" w:color="000000" w:sz="4"/>
                        </w:tcBorders>
                      </w:tcPr>
                      <w:p/>
                    </w:tc>
                    <w:tc>
                      <w:tcPr>
                        <w:tcW w:type="dxa" w:w="119"/>
                        <w:vMerge/>
                        <w:tcBorders>
                          <w:top w:val="none" w:color="000000" w:sz="4"/>
                          <w:left w:val="none" w:color="000000" w:sz="4"/>
                          <w:bottom w:val="single" w:color="000000" w:sz="4"/>
                          <w:right w:val="single" w:color="000000" w:sz="4"/>
                        </w:tcBorders>
                      </w:tcPr>
                      <w:p/>
                    </w:tc>
                    <w:tc>
                      <w:tcPr>
                        <w:tcW w:type="dxa" w:w="206"/>
                        <w:vMerge/>
                        <w:tcBorders>
                          <w:top w:val="none" w:color="000000" w:sz="4"/>
                          <w:left w:val="none" w:color="000000" w:sz="4"/>
                          <w:bottom w:val="single" w:color="000000" w:sz="4"/>
                          <w:right w:val="single" w:color="000000" w:sz="4"/>
                        </w:tcBorders>
                      </w:tcPr>
                      <w:p/>
                    </w:tc>
                    <w:tc>
                      <w:tcPr>
                        <w:tcW w:type="dxa" w:w="401"/>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2、同声传译，每天工作时间按8小时计算，不足4小时的按半天计算，费用按80%计算；超过4小时的按全天计算。英文、俄文各</w:t>
                        </w:r>
                        <w:r>
                          <w:rPr>
                            <w:rFonts w:ascii="仿宋_GB2312" w:hAnsi="仿宋_GB2312" w:cs="仿宋_GB2312" w:eastAsia="仿宋_GB2312"/>
                            <w:sz w:val="21"/>
                            <w:color w:val="000000"/>
                          </w:rPr>
                          <w:t>不少于</w:t>
                        </w:r>
                        <w:r>
                          <w:rPr>
                            <w:rFonts w:ascii="仿宋_GB2312" w:hAnsi="仿宋_GB2312" w:cs="仿宋_GB2312" w:eastAsia="仿宋_GB2312"/>
                            <w:sz w:val="21"/>
                            <w:color w:val="000000"/>
                          </w:rPr>
                          <w:t>2人</w:t>
                        </w:r>
                        <w:r>
                          <w:rPr>
                            <w:rFonts w:ascii="仿宋_GB2312" w:hAnsi="仿宋_GB2312" w:cs="仿宋_GB2312" w:eastAsia="仿宋_GB2312"/>
                            <w:sz w:val="21"/>
                            <w:color w:val="000000"/>
                          </w:rPr>
                          <w:t>。</w:t>
                        </w:r>
                      </w:p>
                    </w:tc>
                    <w:tc>
                      <w:tcPr>
                        <w:tcW w:type="dxa" w:w="434"/>
                        <w:vMerge/>
                        <w:tcBorders>
                          <w:top w:val="none" w:color="000000" w:sz="4"/>
                          <w:left w:val="none" w:color="000000" w:sz="4"/>
                          <w:bottom w:val="single" w:color="000000" w:sz="4"/>
                          <w:right w:val="single" w:color="000000" w:sz="4"/>
                        </w:tcBorders>
                      </w:tcP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c>
                      <w:tcPr>
                        <w:tcW w:type="dxa" w:w="119"/>
                        <w:vMerge/>
                        <w:tcBorders>
                          <w:top w:val="none" w:color="000000" w:sz="4"/>
                          <w:left w:val="none" w:color="000000" w:sz="4"/>
                          <w:bottom w:val="none" w:color="000000" w:sz="4"/>
                          <w:right w:val="single" w:color="000000" w:sz="4"/>
                        </w:tcBorders>
                      </w:tcPr>
                      <w:p/>
                    </w:tc>
                    <w:tc>
                      <w:tcPr>
                        <w:tcW w:type="dxa" w:w="116"/>
                        <w:vMerge/>
                        <w:tcBorders>
                          <w:top w:val="none" w:color="000000" w:sz="4"/>
                          <w:left w:val="none" w:color="000000" w:sz="4"/>
                          <w:bottom w:val="single" w:color="000000" w:sz="4"/>
                          <w:right w:val="single" w:color="000000" w:sz="4"/>
                        </w:tcBorders>
                      </w:tcP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摄影摄像人员费用</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元</w:t>
                        </w:r>
                        <w:r>
                          <w:rPr>
                            <w:rFonts w:ascii="仿宋_GB2312" w:hAnsi="仿宋_GB2312" w:cs="仿宋_GB2312" w:eastAsia="仿宋_GB2312"/>
                            <w:sz w:val="21"/>
                            <w:color w:val="000000"/>
                          </w:rPr>
                          <w:t>/场次/人</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不少于</w:t>
                        </w:r>
                        <w:r>
                          <w:rPr>
                            <w:rFonts w:ascii="仿宋_GB2312" w:hAnsi="仿宋_GB2312" w:cs="仿宋_GB2312" w:eastAsia="仿宋_GB2312"/>
                            <w:sz w:val="21"/>
                          </w:rPr>
                          <w:t>3</w:t>
                        </w:r>
                        <w:r>
                          <w:rPr>
                            <w:rFonts w:ascii="仿宋_GB2312" w:hAnsi="仿宋_GB2312" w:cs="仿宋_GB2312" w:eastAsia="仿宋_GB2312"/>
                            <w:sz w:val="21"/>
                          </w:rPr>
                          <w:t>人</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≤2500</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仅适用外聘专业人员。</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w:t>
                        </w:r>
                      </w:p>
                    </w:tc>
                    <w:tc>
                      <w:tcPr>
                        <w:tcW w:type="dxa" w:w="119"/>
                        <w:vMerge/>
                        <w:tcBorders>
                          <w:top w:val="none" w:color="000000" w:sz="4"/>
                          <w:left w:val="none" w:color="000000" w:sz="4"/>
                          <w:bottom w:val="none" w:color="000000" w:sz="4"/>
                          <w:right w:val="single" w:color="000000" w:sz="4"/>
                        </w:tcBorders>
                      </w:tcPr>
                      <w:p/>
                    </w:tc>
                    <w:tc>
                      <w:tcPr>
                        <w:tcW w:type="dxa" w:w="116"/>
                        <w:vMerge/>
                        <w:tcBorders>
                          <w:top w:val="none" w:color="000000" w:sz="4"/>
                          <w:left w:val="none" w:color="000000" w:sz="4"/>
                          <w:bottom w:val="single" w:color="000000" w:sz="4"/>
                          <w:right w:val="single" w:color="000000" w:sz="4"/>
                        </w:tcBorders>
                      </w:tcP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辅助人员费用</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元</w:t>
                        </w:r>
                        <w:r>
                          <w:rPr>
                            <w:rFonts w:ascii="仿宋_GB2312" w:hAnsi="仿宋_GB2312" w:cs="仿宋_GB2312" w:eastAsia="仿宋_GB2312"/>
                            <w:sz w:val="21"/>
                            <w:color w:val="000000"/>
                          </w:rPr>
                          <w:t>/人/天</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如安保人员、音响师、市场调查人员等，参考《省直机关劳务服务费支出预算标准（试行）》。</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w:t>
                        </w:r>
                      </w:p>
                    </w:tc>
                    <w:tc>
                      <w:tcPr>
                        <w:tcW w:type="dxa" w:w="119"/>
                        <w:vMerge/>
                        <w:tcBorders>
                          <w:top w:val="none" w:color="000000" w:sz="4"/>
                          <w:left w:val="none" w:color="000000" w:sz="4"/>
                          <w:bottom w:val="none" w:color="000000" w:sz="4"/>
                          <w:right w:val="single" w:color="000000" w:sz="4"/>
                        </w:tcBorders>
                      </w:tcPr>
                      <w:p/>
                    </w:tc>
                    <w:tc>
                      <w:tcPr>
                        <w:tcW w:type="dxa" w:w="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车辆租赁</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元</w:t>
                        </w:r>
                        <w:r>
                          <w:rPr>
                            <w:rFonts w:ascii="仿宋_GB2312" w:hAnsi="仿宋_GB2312" w:cs="仿宋_GB2312" w:eastAsia="仿宋_GB2312"/>
                            <w:sz w:val="21"/>
                            <w:color w:val="000000"/>
                          </w:rPr>
                          <w:t>/辆*天</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500-1400</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参照《陕西财政厅关于修订部分省级通用项目支出标准的通知》（陕财办预函〔</w:t>
                        </w:r>
                        <w:r>
                          <w:rPr>
                            <w:rFonts w:ascii="仿宋_GB2312" w:hAnsi="仿宋_GB2312" w:cs="仿宋_GB2312" w:eastAsia="仿宋_GB2312"/>
                            <w:sz w:val="21"/>
                            <w:color w:val="000000"/>
                          </w:rPr>
                          <w:t>2023〕33号。5座车500元，商务车6-9座800元，中巴车10-19座1200元，大巴车（20座以上）1400元）。</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1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119"/>
                        <w:vMerge/>
                        <w:tcBorders>
                          <w:top w:val="none" w:color="000000" w:sz="4"/>
                          <w:left w:val="none" w:color="000000" w:sz="4"/>
                          <w:bottom w:val="none" w:color="000000" w:sz="4"/>
                          <w:right w:val="single" w:color="000000" w:sz="4"/>
                        </w:tcBorders>
                      </w:tcPr>
                      <w:p/>
                    </w:tc>
                    <w:tc>
                      <w:tcPr>
                        <w:tcW w:type="dxa" w:w="253"/>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LED大屏使用费</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元</w:t>
                        </w:r>
                        <w:r>
                          <w:rPr>
                            <w:rFonts w:ascii="仿宋_GB2312" w:hAnsi="仿宋_GB2312" w:cs="仿宋_GB2312" w:eastAsia="仿宋_GB2312"/>
                            <w:sz w:val="21"/>
                            <w:color w:val="000000"/>
                          </w:rPr>
                          <w:t>/组</w:t>
                        </w:r>
                      </w:p>
                    </w:tc>
                    <w:tc>
                      <w:tcPr>
                        <w:tcW w:type="dxa" w:w="2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≤4000</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室内现有无需搭建的</w:t>
                        </w:r>
                        <w:r>
                          <w:rPr>
                            <w:rFonts w:ascii="仿宋_GB2312" w:hAnsi="仿宋_GB2312" w:cs="仿宋_GB2312" w:eastAsia="仿宋_GB2312"/>
                            <w:sz w:val="21"/>
                            <w:color w:val="000000"/>
                          </w:rPr>
                          <w:t>LED大屏幕，</w:t>
                        </w:r>
                        <w:r>
                          <w:rPr>
                            <w:rFonts w:ascii="仿宋_GB2312" w:hAnsi="仿宋_GB2312" w:cs="仿宋_GB2312" w:eastAsia="仿宋_GB2312"/>
                            <w:sz w:val="21"/>
                            <w:color w:val="000000"/>
                          </w:rPr>
                          <w:t>要求尺寸不小于</w:t>
                        </w:r>
                        <w:r>
                          <w:rPr>
                            <w:rFonts w:ascii="仿宋_GB2312" w:hAnsi="仿宋_GB2312" w:cs="仿宋_GB2312" w:eastAsia="仿宋_GB2312"/>
                            <w:sz w:val="21"/>
                            <w:color w:val="000000"/>
                          </w:rPr>
                          <w:t>4M*7M。</w:t>
                        </w:r>
                        <w:r>
                          <w:rPr>
                            <w:rFonts w:ascii="仿宋_GB2312" w:hAnsi="仿宋_GB2312" w:cs="仿宋_GB2312" w:eastAsia="仿宋_GB2312"/>
                            <w:sz w:val="21"/>
                            <w:color w:val="000000"/>
                          </w:rPr>
                          <w:t>需</w:t>
                        </w:r>
                        <w:r>
                          <w:rPr>
                            <w:rFonts w:ascii="仿宋_GB2312" w:hAnsi="仿宋_GB2312" w:cs="仿宋_GB2312" w:eastAsia="仿宋_GB2312"/>
                            <w:sz w:val="21"/>
                            <w:color w:val="000000"/>
                          </w:rPr>
                          <w:t>含高清</w:t>
                        </w:r>
                        <w:r>
                          <w:rPr>
                            <w:rFonts w:ascii="仿宋_GB2312" w:hAnsi="仿宋_GB2312" w:cs="仿宋_GB2312" w:eastAsia="仿宋_GB2312"/>
                            <w:sz w:val="21"/>
                            <w:color w:val="000000"/>
                          </w:rPr>
                          <w:t>LED大屏、无缝切换器、无缝拼接控制单元、分配器、监视器、动力电缆、服务器、视频专用电脑等。</w:t>
                        </w:r>
                      </w:p>
                    </w:tc>
                    <w:tc>
                      <w:tcPr>
                        <w:tcW w:type="dxa" w:w="4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130"/>
                        <w:vMerge/>
                        <w:tcBorders>
                          <w:top w:val="none" w:color="000000" w:sz="4"/>
                          <w:left w:val="single" w:color="000000" w:sz="4"/>
                          <w:bottom w:val="single" w:color="000000" w:sz="4"/>
                          <w:right w:val="single" w:color="000000" w:sz="4"/>
                        </w:tcBorders>
                      </w:tcPr>
                      <w:p/>
                    </w:tc>
                    <w:tc>
                      <w:tcPr>
                        <w:tcW w:type="dxa" w:w="119"/>
                        <w:vMerge/>
                        <w:tcBorders>
                          <w:top w:val="none" w:color="000000" w:sz="4"/>
                          <w:left w:val="none" w:color="000000" w:sz="4"/>
                          <w:bottom w:val="none" w:color="000000" w:sz="4"/>
                          <w:right w:val="single" w:color="000000" w:sz="4"/>
                        </w:tcBorders>
                      </w:tcPr>
                      <w:p/>
                    </w:tc>
                    <w:tc>
                      <w:tcPr>
                        <w:tcW w:type="dxa" w:w="253"/>
                        <w:gridSpan w:val="2"/>
                        <w:vMerge/>
                        <w:tcBorders>
                          <w:top w:val="none" w:color="000000" w:sz="4"/>
                          <w:left w:val="none" w:color="000000" w:sz="4"/>
                          <w:bottom w:val="single" w:color="000000" w:sz="4"/>
                          <w:right w:val="single" w:color="000000" w:sz="4"/>
                        </w:tcBorders>
                      </w:tcP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元</w:t>
                        </w:r>
                        <w:r>
                          <w:rPr>
                            <w:rFonts w:ascii="仿宋_GB2312" w:hAnsi="仿宋_GB2312" w:cs="仿宋_GB2312" w:eastAsia="仿宋_GB2312"/>
                            <w:sz w:val="21"/>
                            <w:color w:val="000000"/>
                          </w:rPr>
                          <w:t>/平方米</w:t>
                        </w:r>
                      </w:p>
                    </w:tc>
                    <w:tc>
                      <w:tcPr>
                        <w:tcW w:type="dxa" w:w="206"/>
                        <w:vMerge/>
                        <w:tcBorders>
                          <w:top w:val="none" w:color="000000" w:sz="4"/>
                          <w:left w:val="none" w:color="000000" w:sz="4"/>
                          <w:bottom w:val="single" w:color="000000" w:sz="4"/>
                          <w:right w:val="single" w:color="000000" w:sz="4"/>
                        </w:tcBorders>
                      </w:tcP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需另搭建的</w:t>
                        </w:r>
                        <w:r>
                          <w:rPr>
                            <w:rFonts w:ascii="仿宋_GB2312" w:hAnsi="仿宋_GB2312" w:cs="仿宋_GB2312" w:eastAsia="仿宋_GB2312"/>
                            <w:sz w:val="21"/>
                            <w:color w:val="000000"/>
                          </w:rPr>
                          <w:t>LED大屏幕</w:t>
                        </w:r>
                      </w:p>
                    </w:tc>
                    <w:tc>
                      <w:tcPr>
                        <w:tcW w:type="dxa" w:w="434"/>
                        <w:vMerge/>
                        <w:tcBorders>
                          <w:top w:val="none" w:color="000000" w:sz="4"/>
                          <w:left w:val="none" w:color="000000" w:sz="4"/>
                          <w:bottom w:val="single" w:color="000000" w:sz="4"/>
                          <w:right w:val="single" w:color="000000" w:sz="4"/>
                        </w:tcBorders>
                      </w:tcP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w:t>
                        </w:r>
                      </w:p>
                    </w:tc>
                    <w:tc>
                      <w:tcPr>
                        <w:tcW w:type="dxa" w:w="11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5新闻宣传</w:t>
                        </w:r>
                      </w:p>
                    </w:tc>
                    <w:tc>
                      <w:tcPr>
                        <w:tcW w:type="dxa" w:w="11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宣传片</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工作交流片</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元</w:t>
                        </w:r>
                        <w:r>
                          <w:rPr>
                            <w:rFonts w:ascii="仿宋_GB2312" w:hAnsi="仿宋_GB2312" w:cs="仿宋_GB2312" w:eastAsia="仿宋_GB2312"/>
                            <w:sz w:val="21"/>
                            <w:color w:val="000000"/>
                          </w:rPr>
                          <w:t>/分钟</w:t>
                        </w:r>
                      </w:p>
                    </w:tc>
                    <w:tc>
                      <w:tcPr>
                        <w:tcW w:type="dxa" w:w="20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限</w:t>
                        </w:r>
                        <w:r>
                          <w:rPr>
                            <w:rFonts w:ascii="仿宋_GB2312" w:hAnsi="仿宋_GB2312" w:cs="仿宋_GB2312" w:eastAsia="仿宋_GB2312"/>
                            <w:sz w:val="21"/>
                            <w:color w:val="000000"/>
                          </w:rPr>
                          <w:t>1部，</w:t>
                        </w:r>
                        <w:r>
                          <w:rPr>
                            <w:rFonts w:ascii="仿宋_GB2312" w:hAnsi="仿宋_GB2312" w:cs="仿宋_GB2312" w:eastAsia="仿宋_GB2312"/>
                            <w:sz w:val="21"/>
                            <w:color w:val="000000"/>
                          </w:rPr>
                          <w:t>≥5分钟</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≤10000</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题材内容单一、拍摄方式简单、成片以现有素材为主的工作交流片。</w:t>
                        </w:r>
                      </w:p>
                    </w:tc>
                    <w:tc>
                      <w:tcPr>
                        <w:tcW w:type="dxa" w:w="4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w:t>
                        </w:r>
                      </w:p>
                    </w:tc>
                    <w:tc>
                      <w:tcPr>
                        <w:tcW w:type="dxa" w:w="119"/>
                        <w:vMerge/>
                        <w:tcBorders>
                          <w:top w:val="single" w:color="000000" w:sz="4"/>
                          <w:left w:val="none" w:color="000000" w:sz="4"/>
                          <w:bottom w:val="single" w:color="000000" w:sz="4"/>
                          <w:right w:val="single" w:color="000000" w:sz="4"/>
                        </w:tcBorders>
                      </w:tcPr>
                      <w:p/>
                    </w:tc>
                    <w:tc>
                      <w:tcPr>
                        <w:tcW w:type="dxa" w:w="253"/>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视频直播</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元</w:t>
                        </w:r>
                        <w:r>
                          <w:rPr>
                            <w:rFonts w:ascii="仿宋_GB2312" w:hAnsi="仿宋_GB2312" w:cs="仿宋_GB2312" w:eastAsia="仿宋_GB2312"/>
                            <w:sz w:val="21"/>
                            <w:color w:val="000000"/>
                          </w:rPr>
                          <w:t>/场次</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≤7000</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包括拍摄费用和后期剪辑制作费用，按照使用摄影设备（高清等）的规格、拍摄的实际时长来及摄影师数量计费；后期包括剪辑、调色等。</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w:t>
                        </w:r>
                      </w:p>
                    </w:tc>
                    <w:tc>
                      <w:tcPr>
                        <w:tcW w:type="dxa" w:w="119"/>
                        <w:vMerge/>
                        <w:tcBorders>
                          <w:top w:val="single" w:color="000000" w:sz="4"/>
                          <w:left w:val="none" w:color="000000" w:sz="4"/>
                          <w:bottom w:val="single" w:color="000000" w:sz="4"/>
                          <w:right w:val="single" w:color="000000" w:sz="4"/>
                        </w:tcBorders>
                      </w:tcPr>
                      <w:p/>
                    </w:tc>
                    <w:tc>
                      <w:tcPr>
                        <w:tcW w:type="dxa" w:w="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图文直播</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元</w:t>
                        </w:r>
                        <w:r>
                          <w:rPr>
                            <w:rFonts w:ascii="仿宋_GB2312" w:hAnsi="仿宋_GB2312" w:cs="仿宋_GB2312" w:eastAsia="仿宋_GB2312"/>
                            <w:sz w:val="21"/>
                            <w:color w:val="000000"/>
                          </w:rPr>
                          <w:t>/场次</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≤2000</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w:t>
                        </w:r>
                      </w:p>
                    </w:tc>
                    <w:tc>
                      <w:tcPr>
                        <w:tcW w:type="dxa" w:w="119"/>
                        <w:vMerge/>
                        <w:tcBorders>
                          <w:top w:val="single" w:color="000000" w:sz="4"/>
                          <w:left w:val="none" w:color="000000" w:sz="4"/>
                          <w:bottom w:val="single" w:color="000000" w:sz="4"/>
                          <w:right w:val="single" w:color="000000" w:sz="4"/>
                        </w:tcBorders>
                      </w:tcPr>
                      <w:p/>
                    </w:tc>
                    <w:tc>
                      <w:tcPr>
                        <w:tcW w:type="dxa" w:w="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摇臂</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元</w:t>
                        </w:r>
                        <w:r>
                          <w:rPr>
                            <w:rFonts w:ascii="仿宋_GB2312" w:hAnsi="仿宋_GB2312" w:cs="仿宋_GB2312" w:eastAsia="仿宋_GB2312"/>
                            <w:sz w:val="21"/>
                            <w:color w:val="000000"/>
                          </w:rPr>
                          <w:t>/场次</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≤4000</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限现场直播使用。</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w:t>
                        </w:r>
                      </w:p>
                    </w:tc>
                    <w:tc>
                      <w:tcPr>
                        <w:tcW w:type="dxa" w:w="119"/>
                        <w:vMerge/>
                        <w:tcBorders>
                          <w:top w:val="single" w:color="000000" w:sz="4"/>
                          <w:left w:val="none" w:color="000000" w:sz="4"/>
                          <w:bottom w:val="single" w:color="000000" w:sz="4"/>
                          <w:right w:val="single" w:color="000000" w:sz="4"/>
                        </w:tcBorders>
                      </w:tcPr>
                      <w:p/>
                    </w:tc>
                    <w:tc>
                      <w:tcPr>
                        <w:tcW w:type="dxa" w:w="2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导播台</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元</w:t>
                        </w:r>
                        <w:r>
                          <w:rPr>
                            <w:rFonts w:ascii="仿宋_GB2312" w:hAnsi="仿宋_GB2312" w:cs="仿宋_GB2312" w:eastAsia="仿宋_GB2312"/>
                            <w:sz w:val="21"/>
                            <w:color w:val="000000"/>
                          </w:rPr>
                          <w:t>/场次</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≤4000</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限现场直播使用。</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bl>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color w:val="000000"/>
                    </w:rPr>
                    <w:t>音响系统</w:t>
                  </w:r>
                </w:p>
                <w:tbl>
                  <w:tblPr>
                    <w:tblBorders>
                      <w:top w:val="none" w:color="000000" w:sz="4"/>
                      <w:left w:val="none" w:color="000000" w:sz="4"/>
                      <w:bottom w:val="none" w:color="000000" w:sz="4"/>
                      <w:right w:val="none" w:color="000000" w:sz="4"/>
                      <w:insideH w:val="none"/>
                      <w:insideV w:val="none"/>
                    </w:tblBorders>
                  </w:tblPr>
                  <w:tblGrid>
                    <w:gridCol w:w="242"/>
                    <w:gridCol w:w="828"/>
                    <w:gridCol w:w="1253"/>
                  </w:tblGrid>
                  <w:tr>
                    <w:tc>
                      <w:tcPr>
                        <w:tcW w:type="dxa" w:w="2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8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项目内容</w:t>
                        </w:r>
                      </w:p>
                    </w:tc>
                    <w:tc>
                      <w:tcPr>
                        <w:tcW w:type="dxa" w:w="12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最高限价</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音箱功放</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200元/套/天</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音响及控制台</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800元/套/天</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阵线音响系统</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1500元/套/天</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便携拉杆音响</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100元/套/天</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返听音箱</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150元/套/天</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话筒</w:t>
                        </w:r>
                      </w:p>
                    </w:tc>
                    <w:tc>
                      <w:tcPr>
                        <w:tcW w:type="dxa" w:w="1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50元/套/天</w:t>
                        </w:r>
                      </w:p>
                    </w:tc>
                  </w:tr>
                </w:tbl>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灯光系统</w:t>
                  </w:r>
                </w:p>
                <w:tbl>
                  <w:tblPr>
                    <w:tblBorders>
                      <w:top w:val="none" w:color="000000" w:sz="4"/>
                      <w:left w:val="none" w:color="000000" w:sz="4"/>
                      <w:bottom w:val="none" w:color="000000" w:sz="4"/>
                      <w:right w:val="none" w:color="000000" w:sz="4"/>
                      <w:insideH w:val="none"/>
                      <w:insideV w:val="none"/>
                    </w:tblBorders>
                  </w:tblPr>
                  <w:tblGrid>
                    <w:gridCol w:w="367"/>
                    <w:gridCol w:w="770"/>
                    <w:gridCol w:w="656"/>
                  </w:tblGrid>
                  <w:tr>
                    <w:tc>
                      <w:tcPr>
                        <w:tcW w:type="dxa" w:w="3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7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项目内容</w:t>
                        </w:r>
                      </w:p>
                    </w:tc>
                    <w:tc>
                      <w:tcPr>
                        <w:tcW w:type="dxa" w:w="6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最高限价</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光束灯</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300元/台</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LED灯（筒灯）</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30元/台</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面光灯</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120元/台</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Truss架</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1500元/套/天</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灯光控制台</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1000元/套</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轨道射灯</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100元/盏</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造型灯带</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100元/米</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染色灯（帕灯）</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120元/</w:t>
                        </w:r>
                        <w:r>
                          <w:rPr>
                            <w:rFonts w:ascii="仿宋_GB2312" w:hAnsi="仿宋_GB2312" w:cs="仿宋_GB2312" w:eastAsia="仿宋_GB2312"/>
                            <w:sz w:val="21"/>
                            <w:color w:val="000000"/>
                          </w:rPr>
                          <w:t>台</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电脑灯</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200元/台</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切割灯</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400元/台</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LOGO灯</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500元</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LED灯箱</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400元/平方米</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追光灯</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200元/台</w:t>
                        </w:r>
                      </w:p>
                    </w:tc>
                  </w:tr>
                </w:tbl>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展板资料</w:t>
                  </w:r>
                </w:p>
                <w:p>
                  <w:pPr>
                    <w:pStyle w:val="null3"/>
                    <w:jc w:val="both"/>
                  </w:pPr>
                  <w:r>
                    <w:rPr>
                      <w:rFonts w:ascii="仿宋_GB2312" w:hAnsi="仿宋_GB2312" w:cs="仿宋_GB2312" w:eastAsia="仿宋_GB2312"/>
                      <w:sz w:val="21"/>
                    </w:rPr>
                    <w:t xml:space="preserve">   </w:t>
                  </w:r>
                </w:p>
                <w:tbl>
                  <w:tblPr>
                    <w:tblBorders>
                      <w:top w:val="none" w:color="000000" w:sz="4"/>
                      <w:left w:val="none" w:color="000000" w:sz="4"/>
                      <w:bottom w:val="none" w:color="000000" w:sz="4"/>
                      <w:right w:val="none" w:color="000000" w:sz="4"/>
                      <w:insideH w:val="none"/>
                      <w:insideV w:val="none"/>
                    </w:tblBorders>
                  </w:tblPr>
                  <w:tblGrid>
                    <w:gridCol w:w="191"/>
                    <w:gridCol w:w="398"/>
                    <w:gridCol w:w="402"/>
                    <w:gridCol w:w="498"/>
                    <w:gridCol w:w="498"/>
                    <w:gridCol w:w="340"/>
                  </w:tblGrid>
                  <w:tr>
                    <w:tc>
                      <w:tcPr>
                        <w:tcW w:type="dxa" w:w="1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3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4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尺寸</w:t>
                        </w:r>
                      </w:p>
                    </w:tc>
                    <w:tc>
                      <w:tcPr>
                        <w:tcW w:type="dxa" w:w="4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规格</w:t>
                        </w:r>
                      </w:p>
                    </w:tc>
                    <w:tc>
                      <w:tcPr>
                        <w:tcW w:type="dxa" w:w="4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最高限价</w:t>
                        </w:r>
                      </w:p>
                    </w:tc>
                    <w:tc>
                      <w:tcPr>
                        <w:tcW w:type="dxa" w:w="3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备注</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铝型材海报架</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60*90CM</w:t>
                        </w:r>
                      </w:p>
                    </w:tc>
                    <w:tc>
                      <w:tcPr>
                        <w:tcW w:type="dxa" w:w="498"/>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户外超卡覆膜，</w:t>
                        </w:r>
                        <w:r>
                          <w:rPr>
                            <w:rFonts w:ascii="仿宋_GB2312" w:hAnsi="仿宋_GB2312" w:cs="仿宋_GB2312" w:eastAsia="仿宋_GB2312"/>
                            <w:sz w:val="21"/>
                            <w:color w:val="000000"/>
                          </w:rPr>
                          <w:t>2.5CM铝型材边框，单面展示</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115元/套</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98"/>
                        <w:vMerge/>
                        <w:tcBorders>
                          <w:top w:val="none" w:color="000000" w:sz="4"/>
                          <w:left w:val="none" w:color="000000" w:sz="4"/>
                          <w:bottom w:val="single" w:color="000000" w:sz="4"/>
                          <w:right w:val="single" w:color="000000" w:sz="4"/>
                        </w:tcBorders>
                      </w:tcP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80*120CM</w:t>
                        </w:r>
                      </w:p>
                    </w:tc>
                    <w:tc>
                      <w:tcPr>
                        <w:tcW w:type="dxa" w:w="498"/>
                        <w:vMerge/>
                        <w:tcBorders>
                          <w:top w:val="none" w:color="000000" w:sz="4"/>
                          <w:left w:val="none" w:color="000000" w:sz="4"/>
                          <w:bottom w:val="none" w:color="000000" w:sz="4"/>
                          <w:right w:val="single" w:color="000000" w:sz="4"/>
                        </w:tcBorders>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155元/套</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98"/>
                        <w:vMerge/>
                        <w:tcBorders>
                          <w:top w:val="none" w:color="000000" w:sz="4"/>
                          <w:left w:val="none" w:color="000000" w:sz="4"/>
                          <w:bottom w:val="single" w:color="000000" w:sz="4"/>
                          <w:right w:val="single" w:color="000000" w:sz="4"/>
                        </w:tcBorders>
                      </w:tcP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90*120CM</w:t>
                        </w:r>
                      </w:p>
                    </w:tc>
                    <w:tc>
                      <w:tcPr>
                        <w:tcW w:type="dxa" w:w="498"/>
                        <w:vMerge/>
                        <w:tcBorders>
                          <w:top w:val="none" w:color="000000" w:sz="4"/>
                          <w:left w:val="none" w:color="000000" w:sz="4"/>
                          <w:bottom w:val="none" w:color="000000" w:sz="4"/>
                          <w:right w:val="single" w:color="000000" w:sz="4"/>
                        </w:tcBorders>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165元/套</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98"/>
                        <w:vMerge/>
                        <w:tcBorders>
                          <w:top w:val="none" w:color="000000" w:sz="4"/>
                          <w:left w:val="none" w:color="000000" w:sz="4"/>
                          <w:bottom w:val="single" w:color="000000" w:sz="4"/>
                          <w:right w:val="single" w:color="000000" w:sz="4"/>
                        </w:tcBorders>
                      </w:tcP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100*150CM</w:t>
                        </w:r>
                      </w:p>
                    </w:tc>
                    <w:tc>
                      <w:tcPr>
                        <w:tcW w:type="dxa" w:w="498"/>
                        <w:vMerge/>
                        <w:tcBorders>
                          <w:top w:val="none" w:color="000000" w:sz="4"/>
                          <w:left w:val="none" w:color="000000" w:sz="4"/>
                          <w:bottom w:val="none" w:color="000000" w:sz="4"/>
                          <w:right w:val="single" w:color="000000" w:sz="4"/>
                        </w:tcBorders>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235元/套</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98"/>
                        <w:vMerge/>
                        <w:tcBorders>
                          <w:top w:val="none" w:color="000000" w:sz="4"/>
                          <w:left w:val="none" w:color="000000" w:sz="4"/>
                          <w:bottom w:val="single" w:color="000000" w:sz="4"/>
                          <w:right w:val="single" w:color="000000" w:sz="4"/>
                        </w:tcBorders>
                      </w:tcP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120*180CM</w:t>
                        </w:r>
                      </w:p>
                    </w:tc>
                    <w:tc>
                      <w:tcPr>
                        <w:tcW w:type="dxa" w:w="498"/>
                        <w:vMerge/>
                        <w:tcBorders>
                          <w:top w:val="none" w:color="000000" w:sz="4"/>
                          <w:left w:val="none" w:color="000000" w:sz="4"/>
                          <w:bottom w:val="none" w:color="000000" w:sz="4"/>
                          <w:right w:val="single" w:color="000000" w:sz="4"/>
                        </w:tcBorders>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275元/套</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98"/>
                        <w:vMerge/>
                        <w:tcBorders>
                          <w:top w:val="none" w:color="000000" w:sz="4"/>
                          <w:left w:val="none" w:color="000000" w:sz="4"/>
                          <w:bottom w:val="single" w:color="000000" w:sz="4"/>
                          <w:right w:val="single" w:color="000000" w:sz="4"/>
                        </w:tcBorders>
                      </w:tcP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120*200CM</w:t>
                        </w:r>
                      </w:p>
                    </w:tc>
                    <w:tc>
                      <w:tcPr>
                        <w:tcW w:type="dxa" w:w="498"/>
                        <w:vMerge/>
                        <w:tcBorders>
                          <w:top w:val="none" w:color="000000" w:sz="4"/>
                          <w:left w:val="none" w:color="000000" w:sz="4"/>
                          <w:bottom w:val="none" w:color="000000" w:sz="4"/>
                          <w:right w:val="single" w:color="000000" w:sz="4"/>
                        </w:tcBorders>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335元/套</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98"/>
                        <w:vMerge/>
                        <w:tcBorders>
                          <w:top w:val="none" w:color="000000" w:sz="4"/>
                          <w:left w:val="none" w:color="000000" w:sz="4"/>
                          <w:bottom w:val="single" w:color="000000" w:sz="4"/>
                          <w:right w:val="single" w:color="000000" w:sz="4"/>
                        </w:tcBorders>
                      </w:tcP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120*240CM</w:t>
                        </w:r>
                      </w:p>
                    </w:tc>
                    <w:tc>
                      <w:tcPr>
                        <w:tcW w:type="dxa" w:w="498"/>
                        <w:vMerge/>
                        <w:tcBorders>
                          <w:top w:val="none" w:color="000000" w:sz="4"/>
                          <w:left w:val="none" w:color="000000" w:sz="4"/>
                          <w:bottom w:val="none" w:color="000000" w:sz="4"/>
                          <w:right w:val="single" w:color="000000" w:sz="4"/>
                        </w:tcBorders>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410元/套</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铝型材海报架</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60*90CM</w:t>
                        </w:r>
                      </w:p>
                    </w:tc>
                    <w:tc>
                      <w:tcPr>
                        <w:tcW w:type="dxa" w:w="498"/>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户外超卡覆膜，</w:t>
                        </w:r>
                        <w:r>
                          <w:rPr>
                            <w:rFonts w:ascii="仿宋_GB2312" w:hAnsi="仿宋_GB2312" w:cs="仿宋_GB2312" w:eastAsia="仿宋_GB2312"/>
                            <w:sz w:val="21"/>
                            <w:color w:val="000000"/>
                          </w:rPr>
                          <w:t>4CM铝型材边框，单面展示</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165元/套</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398"/>
                        <w:vMerge/>
                        <w:tcBorders>
                          <w:top w:val="none" w:color="000000" w:sz="4"/>
                          <w:left w:val="none" w:color="000000" w:sz="4"/>
                          <w:bottom w:val="single" w:color="000000" w:sz="4"/>
                          <w:right w:val="single" w:color="000000" w:sz="4"/>
                        </w:tcBorders>
                      </w:tcP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80*120CM</w:t>
                        </w:r>
                      </w:p>
                    </w:tc>
                    <w:tc>
                      <w:tcPr>
                        <w:tcW w:type="dxa" w:w="498"/>
                        <w:vMerge/>
                        <w:tcBorders>
                          <w:top w:val="none" w:color="000000" w:sz="4"/>
                          <w:left w:val="none" w:color="000000" w:sz="4"/>
                          <w:bottom w:val="none" w:color="000000" w:sz="4"/>
                          <w:right w:val="single" w:color="000000" w:sz="4"/>
                        </w:tcBorders>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215元/套</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398"/>
                        <w:vMerge/>
                        <w:tcBorders>
                          <w:top w:val="none" w:color="000000" w:sz="4"/>
                          <w:left w:val="none" w:color="000000" w:sz="4"/>
                          <w:bottom w:val="single" w:color="000000" w:sz="4"/>
                          <w:right w:val="single" w:color="000000" w:sz="4"/>
                        </w:tcBorders>
                      </w:tcP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90*120CM</w:t>
                        </w:r>
                      </w:p>
                    </w:tc>
                    <w:tc>
                      <w:tcPr>
                        <w:tcW w:type="dxa" w:w="498"/>
                        <w:vMerge/>
                        <w:tcBorders>
                          <w:top w:val="none" w:color="000000" w:sz="4"/>
                          <w:left w:val="none" w:color="000000" w:sz="4"/>
                          <w:bottom w:val="none" w:color="000000" w:sz="4"/>
                          <w:right w:val="single" w:color="000000" w:sz="4"/>
                        </w:tcBorders>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225元/套</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398"/>
                        <w:vMerge/>
                        <w:tcBorders>
                          <w:top w:val="none" w:color="000000" w:sz="4"/>
                          <w:left w:val="none" w:color="000000" w:sz="4"/>
                          <w:bottom w:val="single" w:color="000000" w:sz="4"/>
                          <w:right w:val="single" w:color="000000" w:sz="4"/>
                        </w:tcBorders>
                      </w:tcP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100*150CM</w:t>
                        </w:r>
                      </w:p>
                    </w:tc>
                    <w:tc>
                      <w:tcPr>
                        <w:tcW w:type="dxa" w:w="498"/>
                        <w:vMerge/>
                        <w:tcBorders>
                          <w:top w:val="none" w:color="000000" w:sz="4"/>
                          <w:left w:val="none" w:color="000000" w:sz="4"/>
                          <w:bottom w:val="none" w:color="000000" w:sz="4"/>
                          <w:right w:val="single" w:color="000000" w:sz="4"/>
                        </w:tcBorders>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285元/套</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398"/>
                        <w:vMerge/>
                        <w:tcBorders>
                          <w:top w:val="none" w:color="000000" w:sz="4"/>
                          <w:left w:val="none" w:color="000000" w:sz="4"/>
                          <w:bottom w:val="single" w:color="000000" w:sz="4"/>
                          <w:right w:val="single" w:color="000000" w:sz="4"/>
                        </w:tcBorders>
                      </w:tcP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120*180CM</w:t>
                        </w:r>
                      </w:p>
                    </w:tc>
                    <w:tc>
                      <w:tcPr>
                        <w:tcW w:type="dxa" w:w="498"/>
                        <w:vMerge/>
                        <w:tcBorders>
                          <w:top w:val="none" w:color="000000" w:sz="4"/>
                          <w:left w:val="none" w:color="000000" w:sz="4"/>
                          <w:bottom w:val="none" w:color="000000" w:sz="4"/>
                          <w:right w:val="single" w:color="000000" w:sz="4"/>
                        </w:tcBorders>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320元/套</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398"/>
                        <w:vMerge/>
                        <w:tcBorders>
                          <w:top w:val="none" w:color="000000" w:sz="4"/>
                          <w:left w:val="none" w:color="000000" w:sz="4"/>
                          <w:bottom w:val="single" w:color="000000" w:sz="4"/>
                          <w:right w:val="single" w:color="000000" w:sz="4"/>
                        </w:tcBorders>
                      </w:tcP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120*200CM</w:t>
                        </w:r>
                      </w:p>
                    </w:tc>
                    <w:tc>
                      <w:tcPr>
                        <w:tcW w:type="dxa" w:w="498"/>
                        <w:vMerge/>
                        <w:tcBorders>
                          <w:top w:val="none" w:color="000000" w:sz="4"/>
                          <w:left w:val="none" w:color="000000" w:sz="4"/>
                          <w:bottom w:val="none" w:color="000000" w:sz="4"/>
                          <w:right w:val="single" w:color="000000" w:sz="4"/>
                        </w:tcBorders>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410元/套</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398"/>
                        <w:vMerge/>
                        <w:tcBorders>
                          <w:top w:val="none" w:color="000000" w:sz="4"/>
                          <w:left w:val="none" w:color="000000" w:sz="4"/>
                          <w:bottom w:val="single" w:color="000000" w:sz="4"/>
                          <w:right w:val="single" w:color="000000" w:sz="4"/>
                        </w:tcBorders>
                      </w:tcP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120*240CM</w:t>
                        </w:r>
                      </w:p>
                    </w:tc>
                    <w:tc>
                      <w:tcPr>
                        <w:tcW w:type="dxa" w:w="498"/>
                        <w:vMerge/>
                        <w:tcBorders>
                          <w:top w:val="none" w:color="000000" w:sz="4"/>
                          <w:left w:val="none" w:color="000000" w:sz="4"/>
                          <w:bottom w:val="none" w:color="000000" w:sz="4"/>
                          <w:right w:val="single" w:color="000000" w:sz="4"/>
                        </w:tcBorders>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450元/套</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3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可伸缩铝型材海报架</w:t>
                        </w:r>
                      </w:p>
                    </w:tc>
                    <w:tc>
                      <w:tcPr>
                        <w:tcW w:type="dxa" w:w="4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高度低于</w:t>
                        </w:r>
                        <w:r>
                          <w:rPr>
                            <w:rFonts w:ascii="仿宋_GB2312" w:hAnsi="仿宋_GB2312" w:cs="仿宋_GB2312" w:eastAsia="仿宋_GB2312"/>
                            <w:sz w:val="21"/>
                            <w:color w:val="000000"/>
                          </w:rPr>
                          <w:t>1.5米*宽度大于1.2米</w:t>
                        </w:r>
                      </w:p>
                    </w:tc>
                    <w:tc>
                      <w:tcPr>
                        <w:tcW w:type="dxa" w:w="498"/>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户外超卡覆膜，</w:t>
                        </w:r>
                        <w:r>
                          <w:rPr>
                            <w:rFonts w:ascii="仿宋_GB2312" w:hAnsi="仿宋_GB2312" w:cs="仿宋_GB2312" w:eastAsia="仿宋_GB2312"/>
                            <w:sz w:val="21"/>
                            <w:color w:val="000000"/>
                          </w:rPr>
                          <w:t>3CM\4CM铝型材边框，单面展示，可伸缩高度</w:t>
                        </w:r>
                      </w:p>
                    </w:tc>
                    <w:tc>
                      <w:tcPr>
                        <w:tcW w:type="dxa" w:w="4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125元/套</w:t>
                        </w:r>
                      </w:p>
                    </w:tc>
                    <w:tc>
                      <w:tcPr>
                        <w:tcW w:type="dxa" w:w="3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按</w:t>
                        </w:r>
                        <w:r>
                          <w:rPr>
                            <w:rFonts w:ascii="仿宋_GB2312" w:hAnsi="仿宋_GB2312" w:cs="仿宋_GB2312" w:eastAsia="仿宋_GB2312"/>
                            <w:sz w:val="21"/>
                            <w:color w:val="000000"/>
                          </w:rPr>
                          <w:t>1.5*1.2报价</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398"/>
                        <w:vMerge/>
                        <w:tcBorders>
                          <w:top w:val="none" w:color="000000" w:sz="4"/>
                          <w:left w:val="none" w:color="000000" w:sz="4"/>
                          <w:bottom w:val="single" w:color="000000" w:sz="4"/>
                          <w:right w:val="single" w:color="000000" w:sz="4"/>
                        </w:tcBorders>
                      </w:tcPr>
                      <w:p/>
                    </w:tc>
                    <w:tc>
                      <w:tcPr>
                        <w:tcW w:type="dxa" w:w="402"/>
                        <w:vMerge/>
                        <w:tcBorders>
                          <w:top w:val="none" w:color="000000" w:sz="4"/>
                          <w:left w:val="none" w:color="000000" w:sz="4"/>
                          <w:bottom w:val="single" w:color="000000" w:sz="4"/>
                          <w:right w:val="single" w:color="000000" w:sz="4"/>
                        </w:tcBorders>
                      </w:tcPr>
                      <w:p/>
                    </w:tc>
                    <w:tc>
                      <w:tcPr>
                        <w:tcW w:type="dxa" w:w="498"/>
                        <w:vMerge/>
                        <w:tcBorders>
                          <w:top w:val="none" w:color="000000" w:sz="4"/>
                          <w:left w:val="none" w:color="000000" w:sz="4"/>
                          <w:bottom w:val="non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340"/>
                        <w:vMerge/>
                        <w:tcBorders>
                          <w:top w:val="none" w:color="000000" w:sz="4"/>
                          <w:left w:val="none" w:color="000000" w:sz="4"/>
                          <w:bottom w:val="single" w:color="000000" w:sz="4"/>
                          <w:right w:val="single" w:color="000000" w:sz="4"/>
                        </w:tcBorders>
                      </w:tc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398"/>
                        <w:vMerge/>
                        <w:tcBorders>
                          <w:top w:val="none" w:color="000000" w:sz="4"/>
                          <w:left w:val="none" w:color="000000" w:sz="4"/>
                          <w:bottom w:val="single" w:color="000000" w:sz="4"/>
                          <w:right w:val="single" w:color="000000" w:sz="4"/>
                        </w:tcBorders>
                      </w:tcPr>
                      <w:p/>
                    </w:tc>
                    <w:tc>
                      <w:tcPr>
                        <w:tcW w:type="dxa" w:w="402"/>
                        <w:vMerge/>
                        <w:tcBorders>
                          <w:top w:val="none" w:color="000000" w:sz="4"/>
                          <w:left w:val="none" w:color="000000" w:sz="4"/>
                          <w:bottom w:val="single" w:color="000000" w:sz="4"/>
                          <w:right w:val="single" w:color="000000" w:sz="4"/>
                        </w:tcBorders>
                      </w:tcPr>
                      <w:p/>
                    </w:tc>
                    <w:tc>
                      <w:tcPr>
                        <w:tcW w:type="dxa" w:w="498"/>
                        <w:vMerge/>
                        <w:tcBorders>
                          <w:top w:val="none" w:color="000000" w:sz="4"/>
                          <w:left w:val="none" w:color="000000" w:sz="4"/>
                          <w:bottom w:val="non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340"/>
                        <w:vMerge/>
                        <w:tcBorders>
                          <w:top w:val="none" w:color="000000" w:sz="4"/>
                          <w:left w:val="none" w:color="000000" w:sz="4"/>
                          <w:bottom w:val="single" w:color="000000" w:sz="4"/>
                          <w:right w:val="single" w:color="000000" w:sz="4"/>
                        </w:tcBorders>
                      </w:tc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398"/>
                        <w:vMerge/>
                        <w:tcBorders>
                          <w:top w:val="none" w:color="000000" w:sz="4"/>
                          <w:left w:val="none" w:color="000000" w:sz="4"/>
                          <w:bottom w:val="single" w:color="000000" w:sz="4"/>
                          <w:right w:val="single" w:color="000000" w:sz="4"/>
                        </w:tcBorders>
                      </w:tcPr>
                      <w:p/>
                    </w:tc>
                    <w:tc>
                      <w:tcPr>
                        <w:tcW w:type="dxa" w:w="402"/>
                        <w:vMerge/>
                        <w:tcBorders>
                          <w:top w:val="none" w:color="000000" w:sz="4"/>
                          <w:left w:val="none" w:color="000000" w:sz="4"/>
                          <w:bottom w:val="single" w:color="000000" w:sz="4"/>
                          <w:right w:val="single" w:color="000000" w:sz="4"/>
                        </w:tcBorders>
                      </w:tcPr>
                      <w:p/>
                    </w:tc>
                    <w:tc>
                      <w:tcPr>
                        <w:tcW w:type="dxa" w:w="498"/>
                        <w:vMerge/>
                        <w:tcBorders>
                          <w:top w:val="none" w:color="000000" w:sz="4"/>
                          <w:left w:val="none" w:color="000000" w:sz="4"/>
                          <w:bottom w:val="non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340"/>
                        <w:vMerge/>
                        <w:tcBorders>
                          <w:top w:val="none" w:color="000000" w:sz="4"/>
                          <w:left w:val="none" w:color="000000" w:sz="4"/>
                          <w:bottom w:val="single" w:color="000000" w:sz="4"/>
                          <w:right w:val="single" w:color="000000" w:sz="4"/>
                        </w:tcBorders>
                      </w:tc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398"/>
                        <w:vMerge/>
                        <w:tcBorders>
                          <w:top w:val="none" w:color="000000" w:sz="4"/>
                          <w:left w:val="none" w:color="000000" w:sz="4"/>
                          <w:bottom w:val="single" w:color="000000" w:sz="4"/>
                          <w:right w:val="single" w:color="000000" w:sz="4"/>
                        </w:tcBorders>
                      </w:tcPr>
                      <w:p/>
                    </w:tc>
                    <w:tc>
                      <w:tcPr>
                        <w:tcW w:type="dxa" w:w="402"/>
                        <w:vMerge/>
                        <w:tcBorders>
                          <w:top w:val="none" w:color="000000" w:sz="4"/>
                          <w:left w:val="none" w:color="000000" w:sz="4"/>
                          <w:bottom w:val="single" w:color="000000" w:sz="4"/>
                          <w:right w:val="single" w:color="000000" w:sz="4"/>
                        </w:tcBorders>
                      </w:tcPr>
                      <w:p/>
                    </w:tc>
                    <w:tc>
                      <w:tcPr>
                        <w:tcW w:type="dxa" w:w="498"/>
                        <w:vMerge/>
                        <w:tcBorders>
                          <w:top w:val="none" w:color="000000" w:sz="4"/>
                          <w:left w:val="none" w:color="000000" w:sz="4"/>
                          <w:bottom w:val="non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340"/>
                        <w:vMerge/>
                        <w:tcBorders>
                          <w:top w:val="none" w:color="000000" w:sz="4"/>
                          <w:left w:val="none" w:color="000000" w:sz="4"/>
                          <w:bottom w:val="single" w:color="000000" w:sz="4"/>
                          <w:right w:val="single" w:color="000000" w:sz="4"/>
                        </w:tcBorders>
                      </w:tc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3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立屏展架</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60*160CM</w:t>
                        </w:r>
                      </w:p>
                    </w:tc>
                    <w:tc>
                      <w:tcPr>
                        <w:tcW w:type="dxa" w:w="498"/>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边框镀锌钢板，有黑色、银色两种外边框颜色，单面展示，如果需双面展示需做两块画面，画面户外超卡覆写真膜</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210元/套</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398"/>
                        <w:vMerge/>
                        <w:tcBorders>
                          <w:top w:val="none" w:color="000000" w:sz="4"/>
                          <w:left w:val="none" w:color="000000" w:sz="4"/>
                          <w:bottom w:val="single" w:color="000000" w:sz="4"/>
                          <w:right w:val="single" w:color="000000" w:sz="4"/>
                        </w:tcBorders>
                      </w:tcP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80*180CM</w:t>
                        </w:r>
                      </w:p>
                    </w:tc>
                    <w:tc>
                      <w:tcPr>
                        <w:tcW w:type="dxa" w:w="498"/>
                        <w:vMerge/>
                        <w:tcBorders>
                          <w:top w:val="none" w:color="000000" w:sz="4"/>
                          <w:left w:val="none" w:color="000000" w:sz="4"/>
                          <w:bottom w:val="none" w:color="000000" w:sz="4"/>
                          <w:right w:val="single" w:color="000000" w:sz="4"/>
                        </w:tcBorders>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225元/套</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398"/>
                        <w:vMerge/>
                        <w:tcBorders>
                          <w:top w:val="none" w:color="000000" w:sz="4"/>
                          <w:left w:val="none" w:color="000000" w:sz="4"/>
                          <w:bottom w:val="single" w:color="000000" w:sz="4"/>
                          <w:right w:val="single" w:color="000000" w:sz="4"/>
                        </w:tcBorders>
                      </w:tcP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80*200CM</w:t>
                        </w:r>
                      </w:p>
                    </w:tc>
                    <w:tc>
                      <w:tcPr>
                        <w:tcW w:type="dxa" w:w="498"/>
                        <w:vMerge/>
                        <w:tcBorders>
                          <w:top w:val="none" w:color="000000" w:sz="4"/>
                          <w:left w:val="none" w:color="000000" w:sz="4"/>
                          <w:bottom w:val="none" w:color="000000" w:sz="4"/>
                          <w:right w:val="single" w:color="000000" w:sz="4"/>
                        </w:tcBorders>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245元/套</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398"/>
                        <w:vMerge/>
                        <w:tcBorders>
                          <w:top w:val="none" w:color="000000" w:sz="4"/>
                          <w:left w:val="none" w:color="000000" w:sz="4"/>
                          <w:bottom w:val="single" w:color="000000" w:sz="4"/>
                          <w:right w:val="single" w:color="000000" w:sz="4"/>
                        </w:tcBorders>
                      </w:tcP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100*200CM</w:t>
                        </w:r>
                      </w:p>
                    </w:tc>
                    <w:tc>
                      <w:tcPr>
                        <w:tcW w:type="dxa" w:w="498"/>
                        <w:vMerge/>
                        <w:tcBorders>
                          <w:top w:val="none" w:color="000000" w:sz="4"/>
                          <w:left w:val="none" w:color="000000" w:sz="4"/>
                          <w:bottom w:val="none" w:color="000000" w:sz="4"/>
                          <w:right w:val="single" w:color="000000" w:sz="4"/>
                        </w:tcBorders>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315元/套</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398"/>
                        <w:vMerge/>
                        <w:tcBorders>
                          <w:top w:val="none" w:color="000000" w:sz="4"/>
                          <w:left w:val="none" w:color="000000" w:sz="4"/>
                          <w:bottom w:val="single" w:color="000000" w:sz="4"/>
                          <w:right w:val="single" w:color="000000" w:sz="4"/>
                        </w:tcBorders>
                      </w:tcP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120*200CM</w:t>
                        </w:r>
                      </w:p>
                    </w:tc>
                    <w:tc>
                      <w:tcPr>
                        <w:tcW w:type="dxa" w:w="498"/>
                        <w:vMerge/>
                        <w:tcBorders>
                          <w:top w:val="none" w:color="000000" w:sz="4"/>
                          <w:left w:val="none" w:color="000000" w:sz="4"/>
                          <w:bottom w:val="none" w:color="000000" w:sz="4"/>
                          <w:right w:val="single" w:color="000000" w:sz="4"/>
                        </w:tcBorders>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325元/套</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3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双面立屏展架</w:t>
                        </w:r>
                      </w:p>
                    </w:tc>
                    <w:tc>
                      <w:tcPr>
                        <w:tcW w:type="dxa" w:w="4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60*160CM</w:t>
                        </w:r>
                      </w:p>
                    </w:tc>
                    <w:tc>
                      <w:tcPr>
                        <w:tcW w:type="dxa" w:w="498"/>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铁质烤漆底座增加滑轮，自带配重，双面展示</w:t>
                        </w:r>
                      </w:p>
                    </w:tc>
                    <w:tc>
                      <w:tcPr>
                        <w:tcW w:type="dxa" w:w="4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285元/套</w:t>
                        </w:r>
                      </w:p>
                    </w:tc>
                    <w:tc>
                      <w:tcPr>
                        <w:tcW w:type="dxa" w:w="3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398"/>
                        <w:vMerge/>
                        <w:tcBorders>
                          <w:top w:val="none" w:color="000000" w:sz="4"/>
                          <w:left w:val="none" w:color="000000" w:sz="4"/>
                          <w:bottom w:val="single" w:color="000000" w:sz="4"/>
                          <w:right w:val="single" w:color="000000" w:sz="4"/>
                        </w:tcBorders>
                      </w:tcPr>
                      <w:p/>
                    </w:tc>
                    <w:tc>
                      <w:tcPr>
                        <w:tcW w:type="dxa" w:w="402"/>
                        <w:vMerge/>
                        <w:tcBorders>
                          <w:top w:val="none" w:color="000000" w:sz="4"/>
                          <w:left w:val="none" w:color="000000" w:sz="4"/>
                          <w:bottom w:val="single" w:color="000000" w:sz="4"/>
                          <w:right w:val="single" w:color="000000" w:sz="4"/>
                        </w:tcBorders>
                      </w:tcPr>
                      <w:p/>
                    </w:tc>
                    <w:tc>
                      <w:tcPr>
                        <w:tcW w:type="dxa" w:w="498"/>
                        <w:vMerge/>
                        <w:tcBorders>
                          <w:top w:val="none" w:color="000000" w:sz="4"/>
                          <w:left w:val="none" w:color="000000" w:sz="4"/>
                          <w:bottom w:val="non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340"/>
                        <w:vMerge/>
                        <w:tcBorders>
                          <w:top w:val="none" w:color="000000" w:sz="4"/>
                          <w:left w:val="none" w:color="000000" w:sz="4"/>
                          <w:bottom w:val="single" w:color="000000" w:sz="4"/>
                          <w:right w:val="single" w:color="000000" w:sz="4"/>
                        </w:tcBorders>
                      </w:tc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398"/>
                        <w:vMerge/>
                        <w:tcBorders>
                          <w:top w:val="none" w:color="000000" w:sz="4"/>
                          <w:left w:val="none" w:color="000000" w:sz="4"/>
                          <w:bottom w:val="single" w:color="000000" w:sz="4"/>
                          <w:right w:val="single" w:color="000000" w:sz="4"/>
                        </w:tcBorders>
                      </w:tcP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80*180CM</w:t>
                        </w:r>
                      </w:p>
                    </w:tc>
                    <w:tc>
                      <w:tcPr>
                        <w:tcW w:type="dxa" w:w="498"/>
                        <w:vMerge/>
                        <w:tcBorders>
                          <w:top w:val="none" w:color="000000" w:sz="4"/>
                          <w:left w:val="none" w:color="000000" w:sz="4"/>
                          <w:bottom w:val="none" w:color="000000" w:sz="4"/>
                          <w:right w:val="single" w:color="000000" w:sz="4"/>
                        </w:tcBorders>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310元/套</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398"/>
                        <w:vMerge/>
                        <w:tcBorders>
                          <w:top w:val="none" w:color="000000" w:sz="4"/>
                          <w:left w:val="none" w:color="000000" w:sz="4"/>
                          <w:bottom w:val="single" w:color="000000" w:sz="4"/>
                          <w:right w:val="single" w:color="000000" w:sz="4"/>
                        </w:tcBorders>
                      </w:tcP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80*200CM</w:t>
                        </w:r>
                      </w:p>
                    </w:tc>
                    <w:tc>
                      <w:tcPr>
                        <w:tcW w:type="dxa" w:w="498"/>
                        <w:vMerge/>
                        <w:tcBorders>
                          <w:top w:val="none" w:color="000000" w:sz="4"/>
                          <w:left w:val="none" w:color="000000" w:sz="4"/>
                          <w:bottom w:val="none" w:color="000000" w:sz="4"/>
                          <w:right w:val="single" w:color="000000" w:sz="4"/>
                        </w:tcBorders>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345元/套</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398"/>
                        <w:vMerge/>
                        <w:tcBorders>
                          <w:top w:val="none" w:color="000000" w:sz="4"/>
                          <w:left w:val="none" w:color="000000" w:sz="4"/>
                          <w:bottom w:val="single" w:color="000000" w:sz="4"/>
                          <w:right w:val="single" w:color="000000" w:sz="4"/>
                        </w:tcBorders>
                      </w:tcP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100*200CM</w:t>
                        </w:r>
                      </w:p>
                    </w:tc>
                    <w:tc>
                      <w:tcPr>
                        <w:tcW w:type="dxa" w:w="498"/>
                        <w:vMerge/>
                        <w:tcBorders>
                          <w:top w:val="none" w:color="000000" w:sz="4"/>
                          <w:left w:val="none" w:color="000000" w:sz="4"/>
                          <w:bottom w:val="none" w:color="000000" w:sz="4"/>
                          <w:right w:val="single" w:color="000000" w:sz="4"/>
                        </w:tcBorders>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385元/套</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398"/>
                        <w:vMerge/>
                        <w:tcBorders>
                          <w:top w:val="none" w:color="000000" w:sz="4"/>
                          <w:left w:val="none" w:color="000000" w:sz="4"/>
                          <w:bottom w:val="single" w:color="000000" w:sz="4"/>
                          <w:right w:val="single" w:color="000000" w:sz="4"/>
                        </w:tcBorders>
                      </w:tcP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120*200CM</w:t>
                        </w:r>
                      </w:p>
                    </w:tc>
                    <w:tc>
                      <w:tcPr>
                        <w:tcW w:type="dxa" w:w="498"/>
                        <w:vMerge/>
                        <w:tcBorders>
                          <w:top w:val="none" w:color="000000" w:sz="4"/>
                          <w:left w:val="none" w:color="000000" w:sz="4"/>
                          <w:bottom w:val="none" w:color="000000" w:sz="4"/>
                          <w:right w:val="single" w:color="000000" w:sz="4"/>
                        </w:tcBorders>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425元/套</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3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不锈钢宣传栏</w:t>
                        </w:r>
                      </w:p>
                    </w:tc>
                    <w:tc>
                      <w:tcPr>
                        <w:tcW w:type="dxa" w:w="4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120*240CM</w:t>
                        </w:r>
                      </w:p>
                    </w:tc>
                    <w:tc>
                      <w:tcPr>
                        <w:tcW w:type="dxa" w:w="498"/>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不锈钢方管</w:t>
                        </w:r>
                        <w:r>
                          <w:rPr>
                            <w:rFonts w:ascii="仿宋_GB2312" w:hAnsi="仿宋_GB2312" w:cs="仿宋_GB2312" w:eastAsia="仿宋_GB2312"/>
                            <w:sz w:val="21"/>
                            <w:color w:val="000000"/>
                          </w:rPr>
                          <w:t>,轻薄亚克力画面</w:t>
                        </w:r>
                      </w:p>
                    </w:tc>
                    <w:tc>
                      <w:tcPr>
                        <w:tcW w:type="dxa" w:w="4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640元/套</w:t>
                        </w:r>
                      </w:p>
                    </w:tc>
                    <w:tc>
                      <w:tcPr>
                        <w:tcW w:type="dxa" w:w="3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离地</w:t>
                        </w:r>
                        <w:r>
                          <w:rPr>
                            <w:rFonts w:ascii="仿宋_GB2312" w:hAnsi="仿宋_GB2312" w:cs="仿宋_GB2312" w:eastAsia="仿宋_GB2312"/>
                            <w:sz w:val="21"/>
                            <w:color w:val="000000"/>
                          </w:rPr>
                          <w:t>82CM</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398"/>
                        <w:vMerge/>
                        <w:tcBorders>
                          <w:top w:val="none" w:color="000000" w:sz="4"/>
                          <w:left w:val="none" w:color="000000" w:sz="4"/>
                          <w:bottom w:val="single" w:color="000000" w:sz="4"/>
                          <w:right w:val="single" w:color="000000" w:sz="4"/>
                        </w:tcBorders>
                      </w:tcPr>
                      <w:p/>
                    </w:tc>
                    <w:tc>
                      <w:tcPr>
                        <w:tcW w:type="dxa" w:w="402"/>
                        <w:vMerge/>
                        <w:tcBorders>
                          <w:top w:val="none" w:color="000000" w:sz="4"/>
                          <w:left w:val="none" w:color="000000" w:sz="4"/>
                          <w:bottom w:val="single" w:color="000000" w:sz="4"/>
                          <w:right w:val="single" w:color="000000" w:sz="4"/>
                        </w:tcBorders>
                      </w:tcPr>
                      <w:p/>
                    </w:tc>
                    <w:tc>
                      <w:tcPr>
                        <w:tcW w:type="dxa" w:w="498"/>
                        <w:vMerge/>
                        <w:tcBorders>
                          <w:top w:val="none" w:color="000000" w:sz="4"/>
                          <w:left w:val="none" w:color="000000" w:sz="4"/>
                          <w:bottom w:val="non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340"/>
                        <w:vMerge/>
                        <w:tcBorders>
                          <w:top w:val="none" w:color="000000" w:sz="4"/>
                          <w:left w:val="none" w:color="000000" w:sz="4"/>
                          <w:bottom w:val="single" w:color="000000" w:sz="4"/>
                          <w:right w:val="single" w:color="000000" w:sz="4"/>
                        </w:tcBorders>
                      </w:tc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398"/>
                        <w:vMerge/>
                        <w:tcBorders>
                          <w:top w:val="none" w:color="000000" w:sz="4"/>
                          <w:left w:val="none" w:color="000000" w:sz="4"/>
                          <w:bottom w:val="single" w:color="000000" w:sz="4"/>
                          <w:right w:val="single" w:color="000000" w:sz="4"/>
                        </w:tcBorders>
                      </w:tcP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120*200CM</w:t>
                        </w:r>
                      </w:p>
                    </w:tc>
                    <w:tc>
                      <w:tcPr>
                        <w:tcW w:type="dxa" w:w="498"/>
                        <w:vMerge/>
                        <w:tcBorders>
                          <w:top w:val="none" w:color="000000" w:sz="4"/>
                          <w:left w:val="none" w:color="000000" w:sz="4"/>
                          <w:bottom w:val="none" w:color="000000" w:sz="4"/>
                          <w:right w:val="single" w:color="000000" w:sz="4"/>
                        </w:tcBorders>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620元/套</w:t>
                        </w:r>
                      </w:p>
                    </w:tc>
                    <w:tc>
                      <w:tcPr>
                        <w:tcW w:type="dxa" w:w="340"/>
                        <w:vMerge/>
                        <w:tcBorders>
                          <w:top w:val="none" w:color="000000" w:sz="4"/>
                          <w:left w:val="none" w:color="000000" w:sz="4"/>
                          <w:bottom w:val="single" w:color="000000" w:sz="4"/>
                          <w:right w:val="single" w:color="000000" w:sz="4"/>
                        </w:tcBorders>
                      </w:tc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398"/>
                        <w:vMerge/>
                        <w:tcBorders>
                          <w:top w:val="none" w:color="000000" w:sz="4"/>
                          <w:left w:val="none" w:color="000000" w:sz="4"/>
                          <w:bottom w:val="single" w:color="000000" w:sz="4"/>
                          <w:right w:val="single" w:color="000000" w:sz="4"/>
                        </w:tcBorders>
                      </w:tcP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120*180CM</w:t>
                        </w:r>
                      </w:p>
                    </w:tc>
                    <w:tc>
                      <w:tcPr>
                        <w:tcW w:type="dxa" w:w="498"/>
                        <w:vMerge/>
                        <w:tcBorders>
                          <w:top w:val="none" w:color="000000" w:sz="4"/>
                          <w:left w:val="none" w:color="000000" w:sz="4"/>
                          <w:bottom w:val="none" w:color="000000" w:sz="4"/>
                          <w:right w:val="single" w:color="000000" w:sz="4"/>
                        </w:tcBorders>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600元/套</w:t>
                        </w:r>
                      </w:p>
                    </w:tc>
                    <w:tc>
                      <w:tcPr>
                        <w:tcW w:type="dxa" w:w="340"/>
                        <w:vMerge/>
                        <w:tcBorders>
                          <w:top w:val="none" w:color="000000" w:sz="4"/>
                          <w:left w:val="none" w:color="000000" w:sz="4"/>
                          <w:bottom w:val="single" w:color="000000" w:sz="4"/>
                          <w:right w:val="single" w:color="000000" w:sz="4"/>
                        </w:tcBorders>
                      </w:tc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3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户外桁架搭建</w:t>
                        </w:r>
                      </w:p>
                    </w:tc>
                    <w:tc>
                      <w:tcPr>
                        <w:tcW w:type="dxa" w:w="4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平方米</w:t>
                        </w:r>
                      </w:p>
                    </w:tc>
                    <w:tc>
                      <w:tcPr>
                        <w:tcW w:type="dxa" w:w="498"/>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桁架搭建，画面为高清黑白布</w:t>
                        </w:r>
                      </w:p>
                    </w:tc>
                    <w:tc>
                      <w:tcPr>
                        <w:tcW w:type="dxa" w:w="4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130元/平方米</w:t>
                        </w:r>
                      </w:p>
                    </w:tc>
                    <w:tc>
                      <w:tcPr>
                        <w:tcW w:type="dxa" w:w="3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尺寸按照需要的实际情况</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398"/>
                        <w:vMerge/>
                        <w:tcBorders>
                          <w:top w:val="none" w:color="000000" w:sz="4"/>
                          <w:left w:val="none" w:color="000000" w:sz="4"/>
                          <w:bottom w:val="single" w:color="000000" w:sz="4"/>
                          <w:right w:val="single" w:color="000000" w:sz="4"/>
                        </w:tcBorders>
                      </w:tcPr>
                      <w:p/>
                    </w:tc>
                    <w:tc>
                      <w:tcPr>
                        <w:tcW w:type="dxa" w:w="402"/>
                        <w:vMerge/>
                        <w:tcBorders>
                          <w:top w:val="none" w:color="000000" w:sz="4"/>
                          <w:left w:val="none" w:color="000000" w:sz="4"/>
                          <w:bottom w:val="single" w:color="000000" w:sz="4"/>
                          <w:right w:val="single" w:color="000000" w:sz="4"/>
                        </w:tcBorders>
                      </w:tcPr>
                      <w:p/>
                    </w:tc>
                    <w:tc>
                      <w:tcPr>
                        <w:tcW w:type="dxa" w:w="498"/>
                        <w:vMerge/>
                        <w:tcBorders>
                          <w:top w:val="none" w:color="000000" w:sz="4"/>
                          <w:left w:val="none" w:color="000000" w:sz="4"/>
                          <w:bottom w:val="non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340"/>
                        <w:vMerge/>
                        <w:tcBorders>
                          <w:top w:val="none" w:color="000000" w:sz="4"/>
                          <w:left w:val="none" w:color="000000" w:sz="4"/>
                          <w:bottom w:val="single" w:color="000000" w:sz="4"/>
                          <w:right w:val="single" w:color="000000" w:sz="4"/>
                        </w:tcBorders>
                      </w:tc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w:t>
                        </w:r>
                      </w:p>
                    </w:tc>
                    <w:tc>
                      <w:tcPr>
                        <w:tcW w:type="dxa" w:w="398"/>
                        <w:vMerge/>
                        <w:tcBorders>
                          <w:top w:val="none" w:color="000000" w:sz="4"/>
                          <w:left w:val="none" w:color="000000" w:sz="4"/>
                          <w:bottom w:val="single" w:color="000000" w:sz="4"/>
                          <w:right w:val="single" w:color="000000" w:sz="4"/>
                        </w:tcBorders>
                      </w:tcPr>
                      <w:p/>
                    </w:tc>
                    <w:tc>
                      <w:tcPr>
                        <w:tcW w:type="dxa" w:w="402"/>
                        <w:vMerge/>
                        <w:tcBorders>
                          <w:top w:val="none" w:color="000000" w:sz="4"/>
                          <w:left w:val="none" w:color="000000" w:sz="4"/>
                          <w:bottom w:val="single" w:color="000000" w:sz="4"/>
                          <w:right w:val="single" w:color="000000" w:sz="4"/>
                        </w:tcBorders>
                      </w:tcPr>
                      <w:p/>
                    </w:tc>
                    <w:tc>
                      <w:tcPr>
                        <w:tcW w:type="dxa" w:w="498"/>
                        <w:vMerge/>
                        <w:tcBorders>
                          <w:top w:val="none" w:color="000000" w:sz="4"/>
                          <w:left w:val="none" w:color="000000" w:sz="4"/>
                          <w:bottom w:val="non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340"/>
                        <w:vMerge/>
                        <w:tcBorders>
                          <w:top w:val="none" w:color="000000" w:sz="4"/>
                          <w:left w:val="none" w:color="000000" w:sz="4"/>
                          <w:bottom w:val="single" w:color="000000" w:sz="4"/>
                          <w:right w:val="single" w:color="000000" w:sz="4"/>
                        </w:tcBorders>
                      </w:tc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w:t>
                        </w:r>
                      </w:p>
                    </w:tc>
                    <w:tc>
                      <w:tcPr>
                        <w:tcW w:type="dxa" w:w="398"/>
                        <w:vMerge/>
                        <w:tcBorders>
                          <w:top w:val="none" w:color="000000" w:sz="4"/>
                          <w:left w:val="none" w:color="000000" w:sz="4"/>
                          <w:bottom w:val="single" w:color="000000" w:sz="4"/>
                          <w:right w:val="single" w:color="000000" w:sz="4"/>
                        </w:tcBorders>
                      </w:tcPr>
                      <w:p/>
                    </w:tc>
                    <w:tc>
                      <w:tcPr>
                        <w:tcW w:type="dxa" w:w="402"/>
                        <w:vMerge/>
                        <w:tcBorders>
                          <w:top w:val="none" w:color="000000" w:sz="4"/>
                          <w:left w:val="none" w:color="000000" w:sz="4"/>
                          <w:bottom w:val="single" w:color="000000" w:sz="4"/>
                          <w:right w:val="single" w:color="000000" w:sz="4"/>
                        </w:tcBorders>
                      </w:tcPr>
                      <w:p/>
                    </w:tc>
                    <w:tc>
                      <w:tcPr>
                        <w:tcW w:type="dxa" w:w="498"/>
                        <w:vMerge/>
                        <w:tcBorders>
                          <w:top w:val="none" w:color="000000" w:sz="4"/>
                          <w:left w:val="none" w:color="000000" w:sz="4"/>
                          <w:bottom w:val="non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340"/>
                        <w:vMerge/>
                        <w:tcBorders>
                          <w:top w:val="none" w:color="000000" w:sz="4"/>
                          <w:left w:val="none" w:color="000000" w:sz="4"/>
                          <w:bottom w:val="single" w:color="000000" w:sz="4"/>
                          <w:right w:val="single" w:color="000000" w:sz="4"/>
                        </w:tcBorders>
                      </w:tcPr>
                      <w:p/>
                    </w:tc>
                  </w:tr>
                </w:tbl>
                <w:p>
                  <w:pPr>
                    <w:pStyle w:val="null3"/>
                    <w:jc w:val="both"/>
                  </w:pP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人员配置满足采购要求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设施设备满足采购要求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需要在线提交所有通过电子化交易平台实施的政府采购项目的响应文件，同时，线下提交纸质响应文件贰份；若电子响应文件与纸质响应文件不一致的，以电子响应文件为准；响应文件装订成册密封（在书脊处标明项目名称、供应商名称（机打或手写均可），逐页标注连页码），在封口处加盖供应商公章；纸质响应文件递交截止时间与线上开评标时间一致；纸质响应文件可邮寄递交，应于递交响应文件截止时间前邮寄到代理机构。</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自合同签订之日起至本活动结束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完成后对完成情况进行验收。如验收达不到相关规定要求的，成交供应商应立即进行整改，整改后仍不合格的，则视为验收不合格，采购人有权立即终止合同。由此对采购人造成一定的损失，成交供应商应承担所有责任，并赔偿所造成的损失。</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项目合同签订后</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项目整体内容完成组织验收，通过验收后</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均应全面履行本合同，任何一方不履行或不按约定履行均构成违约，违约方应赔偿因此给对方造成的全部损失。因履行合同所发生的一切争议，双方应友好协商解决，协商不成的，提交陕西仲裁委员会仲裁，仲裁裁决为终局裁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落实异常低价审查 （1）评审中出现下列情形之一的，评标委员会应当启动异常低价投标（响应）审查程序：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④评标委员会基于专业判断，认为供应商报价过低，有可能影响产品质量或者不能诚信履约的其他情形。 （2）相关法律法规对供应商报价有规定的，从其规定。 （3）评标委员会启动异常低价投标（响应）审查后，属于（1）中第①项至第④项情形的，应当要求相关供应商在评审现场合理的时间内对投标（响应）价格作出解释，提供项目具体成本测算等与报价合理性相关的书面说明及必要的证明材料，包括但不限于原材料成本、人工成本、制造费用等。其中，属于第③项情形，供应商已随投标（响应）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标委员会应当将其作为无效投标（响应）处理。 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异常低价投标（响应）审查的启动原因、审查意见和审查结果应当在评审报告中记录，并随供应商提供的相关书面说明及证明材料，以及评标委员会有关互联网浏览、查询历史一并归档。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提供有效存续的企业营业执照（副本）/事业单位法人证书/专业服务机构执业许可证/民办非企业单位登记证书/自然人身份证等。</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书面声明</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近三年无重大违法、违纪书面声明</w:t>
            </w:r>
          </w:p>
        </w:tc>
        <w:tc>
          <w:tcPr>
            <w:tcW w:type="dxa" w:w="3322"/>
          </w:tcPr>
          <w:p>
            <w:pPr>
              <w:pStyle w:val="null3"/>
            </w:pPr>
            <w:r>
              <w:rPr>
                <w:rFonts w:ascii="仿宋_GB2312" w:hAnsi="仿宋_GB2312" w:cs="仿宋_GB2312" w:eastAsia="仿宋_GB2312"/>
              </w:rPr>
              <w:t>提供《近三年无重大违法、违纪书面声明》。</w:t>
            </w:r>
          </w:p>
        </w:tc>
        <w:tc>
          <w:tcPr>
            <w:tcW w:type="dxa" w:w="1661"/>
          </w:tcPr>
          <w:p>
            <w:pPr>
              <w:pStyle w:val="null3"/>
            </w:pPr>
            <w:r>
              <w:rPr>
                <w:rFonts w:ascii="仿宋_GB2312" w:hAnsi="仿宋_GB2312" w:cs="仿宋_GB2312" w:eastAsia="仿宋_GB2312"/>
              </w:rPr>
              <w:t>近三年无重大违法、违纪书面声明</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控股管理关系</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本人身份证复印件（附在响应文件中）；法定代表人授权他人参加磋商的，须提供法定代表人授权委托书。磋商文件中凡是需要法定代表人盖章之处，非法人单位的负责人均参照执行。 法人的分支机构参与磋商时，除提供《法定代表人授权委托书》、《法定代表人证明书》外，还须同时提供法人给分支机构出具的授权书。</w:t>
            </w:r>
          </w:p>
        </w:tc>
        <w:tc>
          <w:tcPr>
            <w:tcW w:type="dxa" w:w="1661"/>
          </w:tcPr>
          <w:p>
            <w:pPr>
              <w:pStyle w:val="null3"/>
            </w:pPr>
            <w:r>
              <w:rPr>
                <w:rFonts w:ascii="仿宋_GB2312" w:hAnsi="仿宋_GB2312" w:cs="仿宋_GB2312" w:eastAsia="仿宋_GB2312"/>
              </w:rPr>
              <w:t>法定代表人授权书</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本项目不接受联合体磋商，不允许分包</w:t>
            </w:r>
          </w:p>
        </w:tc>
        <w:tc>
          <w:tcPr>
            <w:tcW w:type="dxa" w:w="3322"/>
          </w:tcPr>
          <w:p>
            <w:pPr>
              <w:pStyle w:val="null3"/>
            </w:pPr>
            <w:r>
              <w:rPr>
                <w:rFonts w:ascii="仿宋_GB2312" w:hAnsi="仿宋_GB2312" w:cs="仿宋_GB2312" w:eastAsia="仿宋_GB2312"/>
              </w:rPr>
              <w:t>供应商应提供《非联合体不分包磋商声明》，视为独立磋商，不分包。</w:t>
            </w:r>
          </w:p>
        </w:tc>
        <w:tc>
          <w:tcPr>
            <w:tcW w:type="dxa" w:w="1661"/>
          </w:tcPr>
          <w:p>
            <w:pPr>
              <w:pStyle w:val="null3"/>
            </w:pPr>
            <w:r>
              <w:rPr>
                <w:rFonts w:ascii="仿宋_GB2312" w:hAnsi="仿宋_GB2312" w:cs="仿宋_GB2312" w:eastAsia="仿宋_GB2312"/>
              </w:rPr>
              <w:t>非联合体磋商声明</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响应文件语言及有效期符合磋商文件要求。</w:t>
            </w:r>
          </w:p>
        </w:tc>
        <w:tc>
          <w:tcPr>
            <w:tcW w:type="dxa" w:w="1661"/>
          </w:tcPr>
          <w:p>
            <w:pPr>
              <w:pStyle w:val="null3"/>
            </w:pPr>
            <w:r>
              <w:rPr>
                <w:rFonts w:ascii="仿宋_GB2312" w:hAnsi="仿宋_GB2312" w:cs="仿宋_GB2312" w:eastAsia="仿宋_GB2312"/>
              </w:rPr>
              <w:t>服务内容及服务邀请应答表 保证金汇款声明函 分项报价表 中小企业声明函 商务应答表 供应商应提交的相关资格证明材料 非联合体磋商声明 报价表 控股管理关系 法定代表人授权书 响应文件封面 近三年无重大违法、违纪书面声明 残疾人福利性单位声明函 服务方案 标的清单 响应函 书面声明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响应文件封面、响应函、法定代表人（负责人）授权委托书三处的项目名称、项目编号、包号（如有）</w:t>
            </w:r>
          </w:p>
        </w:tc>
        <w:tc>
          <w:tcPr>
            <w:tcW w:type="dxa" w:w="3322"/>
          </w:tcPr>
          <w:p>
            <w:pPr>
              <w:pStyle w:val="null3"/>
            </w:pPr>
            <w:r>
              <w:rPr>
                <w:rFonts w:ascii="仿宋_GB2312" w:hAnsi="仿宋_GB2312" w:cs="仿宋_GB2312" w:eastAsia="仿宋_GB2312"/>
              </w:rPr>
              <w:t>三处均无遗漏，且与所投项目名称、项目编号、包号（如有）一致。</w:t>
            </w:r>
          </w:p>
        </w:tc>
        <w:tc>
          <w:tcPr>
            <w:tcW w:type="dxa" w:w="1661"/>
          </w:tcPr>
          <w:p>
            <w:pPr>
              <w:pStyle w:val="null3"/>
            </w:pPr>
            <w:r>
              <w:rPr>
                <w:rFonts w:ascii="仿宋_GB2312" w:hAnsi="仿宋_GB2312" w:cs="仿宋_GB2312" w:eastAsia="仿宋_GB2312"/>
              </w:rPr>
              <w:t>响应文件封面 响应函 法定代表人授权书</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均按磋商文件要求签字、盖章（评分标准中要求提供的证明材料除外）。</w:t>
            </w:r>
          </w:p>
        </w:tc>
        <w:tc>
          <w:tcPr>
            <w:tcW w:type="dxa" w:w="1661"/>
          </w:tcPr>
          <w:p>
            <w:pPr>
              <w:pStyle w:val="null3"/>
            </w:pPr>
            <w:r>
              <w:rPr>
                <w:rFonts w:ascii="仿宋_GB2312" w:hAnsi="仿宋_GB2312" w:cs="仿宋_GB2312" w:eastAsia="仿宋_GB2312"/>
              </w:rPr>
              <w:t>服务内容及服务邀请应答表 保证金汇款声明函 分项报价表 中小企业声明函 商务应答表 供应商应提交的相关资格证明材料 非联合体磋商声明 报价表 控股管理关系 法定代表人授权书 响应文件封面 近三年无重大违法、违纪书面声明 残疾人福利性单位声明函 服务方案 标的清单 响应函 书面声明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响应报价表</w:t>
            </w:r>
          </w:p>
        </w:tc>
        <w:tc>
          <w:tcPr>
            <w:tcW w:type="dxa" w:w="3322"/>
          </w:tcPr>
          <w:p>
            <w:pPr>
              <w:pStyle w:val="null3"/>
            </w:pPr>
            <w:r>
              <w:rPr>
                <w:rFonts w:ascii="仿宋_GB2312" w:hAnsi="仿宋_GB2312" w:cs="仿宋_GB2312" w:eastAsia="仿宋_GB2312"/>
              </w:rPr>
              <w:t>（1）响应报价符合唯一性要求：（2）响应报价表填写符合要求；（3）计量单位、报价货币均符合磋商文件要求；（4）未超出采购预算或磋商文件规定的最高限价。</w:t>
            </w:r>
          </w:p>
        </w:tc>
        <w:tc>
          <w:tcPr>
            <w:tcW w:type="dxa" w:w="1661"/>
          </w:tcPr>
          <w:p>
            <w:pPr>
              <w:pStyle w:val="null3"/>
            </w:pPr>
            <w:r>
              <w:rPr>
                <w:rFonts w:ascii="仿宋_GB2312" w:hAnsi="仿宋_GB2312" w:cs="仿宋_GB2312" w:eastAsia="仿宋_GB2312"/>
              </w:rPr>
              <w:t>分项报价表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完全理解接受并签署磋商文件商务条款响应表。</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保证金交纳符合磋商文件要求。</w:t>
            </w:r>
          </w:p>
        </w:tc>
        <w:tc>
          <w:tcPr>
            <w:tcW w:type="dxa" w:w="1661"/>
          </w:tcPr>
          <w:p>
            <w:pPr>
              <w:pStyle w:val="null3"/>
            </w:pPr>
            <w:r>
              <w:rPr>
                <w:rFonts w:ascii="仿宋_GB2312" w:hAnsi="仿宋_GB2312" w:cs="仿宋_GB2312" w:eastAsia="仿宋_GB2312"/>
              </w:rPr>
              <w:t>保证金汇款声明函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没有不符合磋商文件规定的被视为无效响应的其他条款。</w:t>
            </w:r>
          </w:p>
        </w:tc>
        <w:tc>
          <w:tcPr>
            <w:tcW w:type="dxa" w:w="1661"/>
          </w:tcPr>
          <w:p>
            <w:pPr>
              <w:pStyle w:val="null3"/>
            </w:pPr>
            <w:r>
              <w:rPr>
                <w:rFonts w:ascii="仿宋_GB2312" w:hAnsi="仿宋_GB2312" w:cs="仿宋_GB2312" w:eastAsia="仿宋_GB2312"/>
              </w:rPr>
              <w:t>服务内容及服务邀请应答表 保证金汇款声明函 分项报价表 中小企业声明函 商务应答表 供应商应提交的相关资格证明材料 非联合体磋商声明 报价表 控股管理关系 法定代表人授权书 响应文件封面 近三年无重大违法、违纪书面声明 残疾人福利性单位声明函 服务方案 标的清单 响应函 书面声明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项目需求理解</w:t>
            </w:r>
          </w:p>
        </w:tc>
        <w:tc>
          <w:tcPr>
            <w:tcW w:type="dxa" w:w="2492"/>
          </w:tcPr>
          <w:p>
            <w:pPr>
              <w:pStyle w:val="null3"/>
            </w:pPr>
            <w:r>
              <w:rPr>
                <w:rFonts w:ascii="仿宋_GB2312" w:hAnsi="仿宋_GB2312" w:cs="仿宋_GB2312" w:eastAsia="仿宋_GB2312"/>
              </w:rPr>
              <w:t>供应商提供针对本项目采购需求的理解，至少应包括：①工作重点、难点、关键点分析；②服务优势；③活动风险预判与应对思路；④对跨境标准化主题的理解与活动价值呈现思路。包含但不限于上述全部内容，且方案详细，清晰有利于项目的得满分。(如有缺陷或不足在此分数基础上进行扣分)，以上4项中：（1）每有1项缺失或内容无法满足项目需求的扣3分；（2）有1项中内容存在缺陷或不足（是指内容方案缺少关键点；对同一问题前后表述矛盾；存在逻辑漏洞、科学原理或常识错误；不利于本项目采购目标实现等任意一种情形）扣2分；（3）每有1项内容存在部分瑕疵（是指内容基本完备可行，但存在部分不符合项目实际或有细节错误之处，不利于项目）扣1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根据供应商针对本项目提供详细的服务方案，至少应包括：①方案策划；②嘉宾邀约对接；③现场实施；④后勤保障服务方案； ⑤物料保障及会场布置。包含但不限于上述全部内容，且方案详细，清晰有利于项目的得满分(如有缺陷或不足在此分数基础上进行扣分)，以上5项中：（1）每有1项缺失或内容无法满足项目需求的扣3分；（2）有1项中内容存在缺陷或不足（是指内容方案缺少关键点；对同一问题前后表述矛盾；存在逻辑漏洞、科学原理或常识错误；不利于本项目采购目标实现等任意一种情形）扣2分；（3）每有1项内容存在部分瑕疵（是指内容基本完备可行，但存在部分不符合项目实际或有细节错误之处，不利于项目）扣1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根据供应商针对本项目提供详细的进度保障措施，至少应包括：①具体详细的工作计划；②具有合理的阶段划分；③明确各阶段有明确的工作目标；④具有可行的时间进度安排。包含但不限于上述全部内容，且方案详细，清晰有利于项目的得满分(如有缺陷或不足在此分数基础上进行扣分)，以上4项中：（1）每有1项缺失或内容无法满足项目需求的扣3分；（2）有1项中内容存在缺陷或不足（是指内容方案缺少关键点；对同一问题前后表述矛盾；存在逻辑漏洞、科学原理或常识错误；不利于本项目采购目标实现等任意一种情形）扣2分；（3）每有1项内容存在部分瑕疵（是指内容基本完备可行，但存在部分不符合项目实际或有细节错误之处，不利于项目）扣1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根据供应商针对本项目提供详细的项目人员配备方案，至少应包括：①团队岗位人员的配备；②人员具有合理的定岗分工、安保服务的细则；③全流程应急响应与人员调度保障；④人员沟通协调与现场信息传递机制。包含但不限于上述全部内容，且方案详细，清晰有利于项目的得满分(如有缺陷或不足在此分数基础上进行扣分)，以上4项中：（1）每有1项缺失或内容无法满足项目需求的扣2分；（2）有1项中内容存在缺陷或不足（是指内容方案缺少关键点；对同一问题前后表述矛盾；存在逻辑漏洞、科学原理或常识错误；不利于本项目采购目标实现等任意一种情形）扣1分；（3）每有1项内容存在部分瑕疵（是指内容基本完备可行，但存在部分不符合项目实际或有细节错误之处，不利于项目）扣0.5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供应商针对本项目提供详细的服务承诺，至少应包括：①设备保障承诺；②人员值守承诺；③进度履约承诺；④场地清理承诺；⑤售后保障承诺。包含但不限于上述全部内容，且方案详细，清晰有利于项目的得满分(如有缺陷或不足在此分数基础上进行扣分)，以上5项中：（1）每有1项缺失或内容无法满足项目需求的扣2分；（2）有1项中内容存在缺陷或不足（是指内容方案缺少关键点；对同一问题前后表述矛盾；存在逻辑漏洞、科学原理或常识错误；不利于本项目采购目标实现等任意一种情形）扣1分；（3）每有1项内容存在部分瑕疵（是指内容基本完备可行，但存在部分不符合项目实际或有细节错误之处，不利于项目）扣0.5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活动实施方案与会场呈现</w:t>
            </w:r>
          </w:p>
        </w:tc>
        <w:tc>
          <w:tcPr>
            <w:tcW w:type="dxa" w:w="2492"/>
          </w:tcPr>
          <w:p>
            <w:pPr>
              <w:pStyle w:val="null3"/>
            </w:pPr>
            <w:r>
              <w:rPr>
                <w:rFonts w:ascii="仿宋_GB2312" w:hAnsi="仿宋_GB2312" w:cs="仿宋_GB2312" w:eastAsia="仿宋_GB2312"/>
              </w:rPr>
              <w:t>根据供应商针对本项目提供详细的活动实施方案、议程与会场呈现，至少应包括：①活动实施方案完整度、贴合主题与政府活动规范；②议程逻辑清晰、流程顺畅、时间节点合理；③会场效果设计图美观规范、符合规模要求；④整体呈现专业度、落地性；⑤活动资料管控、文稿审核与内容合规性保障措施是否完善到位。（投标供应商需提供标贴合本次活动主题的活动会场效果设计图等）包含但不限于上述全部内容，且方案详细，清晰有利于项目的得满分(如有缺陷或不足在此分数基础上进行扣分)，以上5项中：（1）每有1项缺失或内容无法满足项目需求的扣3分；（2）有1项中内容存在缺陷或不足（是指内容方案缺少关键点；对同一问题前后表述矛盾；存在逻辑漏洞、科学原理或常识错误；不利于本项目采购目标实现等任意一种情形）扣2分；（3）每有1项内容存在部分瑕疵（是指内容基本完备可行，但存在部分不符合项目实际或有细节错误之处，不利于项目）扣1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根据供应商针对本项目提供详细的合理化建议，至少应包括：①宣传形式优化建议；②场地布置优化建议；③现场服务优化建议；④活动效果提升建议。包含但不限于上述全部内容，且方案详细，清晰有利于项目的得满分(如有缺陷或不足在此分数基础上进行扣分)，以上4项中：（1）每有1项缺失或内容无法满足项目需求的扣2分；（2）有1项中内容存在缺陷或不足（是指内容方案缺少关键点；对同一问题前后表述矛盾；存在逻辑漏洞、科学原理或常识错误；不利于本项目采购目标实现等任意一种情形）扣1分；（3）每有1项内容存在部分瑕疵（是指内容基本完备可行，但存在部分不符合项目实际或有细节错误之处，不利于项目）扣0.5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响应截止日期承接的类似项目业绩，每份合格业绩计2分，满分10分。备注：供应商需提供业绩合同证明材料（至少应包含内容关键页、签订日期与签章页），提供不全或无法辨识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价格分统一采用低价优先法计算，即满足磋商文件要求且最低的响应报价为基准价，其价格分为满分。其他供应商的价格分统一按照下列公式计算：响应报价得分=(基准价／响应报价)×价格权值×100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详见附件：保证金汇款声明函</w:t>
      </w:r>
    </w:p>
    <w:p>
      <w:pPr>
        <w:pStyle w:val="null3"/>
        <w:ind w:firstLine="960"/>
      </w:pPr>
      <w:r>
        <w:rPr>
          <w:rFonts w:ascii="仿宋_GB2312" w:hAnsi="仿宋_GB2312" w:cs="仿宋_GB2312" w:eastAsia="仿宋_GB2312"/>
        </w:rPr>
        <w:t>详见附件：法定代表人授权书</w:t>
      </w:r>
    </w:p>
    <w:p>
      <w:pPr>
        <w:pStyle w:val="null3"/>
        <w:ind w:firstLine="960"/>
      </w:pPr>
      <w:r>
        <w:rPr>
          <w:rFonts w:ascii="仿宋_GB2312" w:hAnsi="仿宋_GB2312" w:cs="仿宋_GB2312" w:eastAsia="仿宋_GB2312"/>
        </w:rPr>
        <w:t>详见附件：非联合体磋商声明</w:t>
      </w:r>
    </w:p>
    <w:p>
      <w:pPr>
        <w:pStyle w:val="null3"/>
        <w:ind w:firstLine="960"/>
      </w:pPr>
      <w:r>
        <w:rPr>
          <w:rFonts w:ascii="仿宋_GB2312" w:hAnsi="仿宋_GB2312" w:cs="仿宋_GB2312" w:eastAsia="仿宋_GB2312"/>
        </w:rPr>
        <w:t>详见附件：近三年无重大违法、违纪书面声明</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详见附件：书面声明</w:t>
      </w:r>
    </w:p>
    <w:p>
      <w:pPr>
        <w:pStyle w:val="null3"/>
        <w:ind w:firstLine="960"/>
      </w:pPr>
      <w:r>
        <w:rPr>
          <w:rFonts w:ascii="仿宋_GB2312" w:hAnsi="仿宋_GB2312" w:cs="仿宋_GB2312" w:eastAsia="仿宋_GB2312"/>
        </w:rPr>
        <w:t>详见附件：分项报价表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