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4F3C20">
      <w:pPr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主要商务条款响应偏离表</w:t>
      </w:r>
    </w:p>
    <w:tbl>
      <w:tblPr>
        <w:tblStyle w:val="3"/>
        <w:tblW w:w="4998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1171"/>
        <w:gridCol w:w="5618"/>
        <w:gridCol w:w="1191"/>
      </w:tblGrid>
      <w:tr w14:paraId="6BFC2AC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316" w:type="pct"/>
            <w:tcBorders>
              <w:tl2br w:val="nil"/>
              <w:tr2bl w:val="nil"/>
            </w:tcBorders>
            <w:vAlign w:val="center"/>
          </w:tcPr>
          <w:p w14:paraId="5639F3C5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87" w:type="pct"/>
            <w:tcBorders>
              <w:tl2br w:val="nil"/>
              <w:tr2bl w:val="nil"/>
            </w:tcBorders>
            <w:vAlign w:val="center"/>
          </w:tcPr>
          <w:p w14:paraId="216B083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条款</w:t>
            </w:r>
          </w:p>
        </w:tc>
        <w:tc>
          <w:tcPr>
            <w:tcW w:w="3296" w:type="pct"/>
            <w:tcBorders>
              <w:tl2br w:val="nil"/>
              <w:tr2bl w:val="nil"/>
            </w:tcBorders>
            <w:vAlign w:val="center"/>
          </w:tcPr>
          <w:p w14:paraId="3B85F584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  <w:t>内容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12F9C806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  <w:t>响应说明</w:t>
            </w:r>
          </w:p>
        </w:tc>
      </w:tr>
      <w:tr w14:paraId="00C7AA5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50DA93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8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AFD8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合同</w:t>
            </w:r>
          </w:p>
          <w:p w14:paraId="71E1600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价款</w:t>
            </w:r>
          </w:p>
        </w:tc>
        <w:tc>
          <w:tcPr>
            <w:tcW w:w="329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B24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1.本项目采用固定综合单价合同。 </w:t>
            </w:r>
          </w:p>
          <w:p w14:paraId="78100F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2.综合单价修正系数： 修正系数=磋商最终报价/首次报价。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01A9C531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14:paraId="1C1597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316" w:type="pct"/>
            <w:tcBorders>
              <w:tl2br w:val="nil"/>
              <w:tr2bl w:val="nil"/>
            </w:tcBorders>
            <w:vAlign w:val="center"/>
          </w:tcPr>
          <w:p w14:paraId="42DB6EC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87" w:type="pct"/>
            <w:tcBorders>
              <w:tl2br w:val="nil"/>
              <w:tr2bl w:val="nil"/>
            </w:tcBorders>
            <w:vAlign w:val="center"/>
          </w:tcPr>
          <w:p w14:paraId="2023A2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变更、签证价款</w:t>
            </w:r>
          </w:p>
        </w:tc>
        <w:tc>
          <w:tcPr>
            <w:tcW w:w="3296" w:type="pct"/>
            <w:tcBorders>
              <w:tl2br w:val="nil"/>
              <w:tr2bl w:val="nil"/>
            </w:tcBorders>
            <w:vAlign w:val="center"/>
          </w:tcPr>
          <w:p w14:paraId="4EE067A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1.工程量清单报价中已有工程综合单价的，按已有综合单价结算；</w:t>
            </w:r>
          </w:p>
          <w:p w14:paraId="743FEB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.工程量清单报价中只有类似工程项目的，双方可以参照同标准类似综合单价协商认可的综合单价结算3.工程量清单报价中没有的工程项目内容，经甲方代表确认后，乙方可重新组价并上报，组价依据施工图、设计变更、陕西省建设工程费用规则（2025）、陕西省房屋建筑与装饰工程消耗量定额（2025）、陕西省通用安装工程消耗量定额（2025）、2001《全统修善定额土建工程、安装工程陕西价目表》、陕西省房屋建筑与装饰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程基价表（2025）、陕西省通用安装工程基价表（2025）及相应的费率，经甲方审核确认的价款为该变更签证价款。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57EDF5A7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14:paraId="331151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</w:trPr>
        <w:tc>
          <w:tcPr>
            <w:tcW w:w="316" w:type="pct"/>
            <w:tcBorders>
              <w:tl2br w:val="nil"/>
              <w:tr2bl w:val="nil"/>
            </w:tcBorders>
            <w:vAlign w:val="center"/>
          </w:tcPr>
          <w:p w14:paraId="38315CD0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87" w:type="pct"/>
            <w:tcBorders>
              <w:tl2br w:val="nil"/>
              <w:tr2bl w:val="nil"/>
            </w:tcBorders>
            <w:vAlign w:val="center"/>
          </w:tcPr>
          <w:p w14:paraId="1164E8C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付款方式</w:t>
            </w:r>
          </w:p>
        </w:tc>
        <w:tc>
          <w:tcPr>
            <w:tcW w:w="3296" w:type="pct"/>
            <w:tcBorders>
              <w:tl2br w:val="nil"/>
              <w:tr2bl w:val="nil"/>
            </w:tcBorders>
            <w:vAlign w:val="center"/>
          </w:tcPr>
          <w:p w14:paraId="15C980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待工程竣工验收合格后付至合同金额的80%；经学校审计后付至审定金额的100%；但前期支付金额超过审定金额的成交人应当退还。</w:t>
            </w:r>
          </w:p>
        </w:tc>
        <w:tc>
          <w:tcPr>
            <w:tcW w:w="699" w:type="pct"/>
            <w:tcBorders>
              <w:tl2br w:val="nil"/>
              <w:tr2bl w:val="nil"/>
            </w:tcBorders>
            <w:vAlign w:val="center"/>
          </w:tcPr>
          <w:p w14:paraId="5FBA93F2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05D0D783">
      <w:pP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eastAsia="zh-CN"/>
        </w:rPr>
      </w:pPr>
    </w:p>
    <w:p w14:paraId="1B4D1A95">
      <w:pPr>
        <w:rPr>
          <w:rFonts w:hint="default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val="en-US" w:eastAsia="zh-CN"/>
        </w:rPr>
        <w:t>注：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eastAsia="zh-CN"/>
        </w:rPr>
        <w:t>响应说明填写：优于、等于、低于。</w:t>
      </w: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lang w:val="en-US" w:eastAsia="zh-CN"/>
        </w:rPr>
        <w:t>未填写的视为低于。</w:t>
      </w:r>
    </w:p>
    <w:p w14:paraId="3915BA52">
      <w:pP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</w:p>
    <w:p w14:paraId="16A94F30">
      <w:pP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</w:p>
    <w:p w14:paraId="0120B2C8">
      <w:r>
        <w:rPr>
          <w:rFonts w:hint="eastAsia" w:ascii="Calibri" w:hAnsi="Calibri" w:eastAsia="宋体" w:cs="Times New Roman"/>
          <w:b w:val="0"/>
          <w:bCs w:val="0"/>
          <w:kern w:val="0"/>
          <w:sz w:val="24"/>
          <w:szCs w:val="24"/>
          <w:lang w:val="en-US" w:eastAsia="zh-CN"/>
        </w:rPr>
        <w:t>供应商：（盖公章）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E4D78"/>
    <w:rsid w:val="16922F95"/>
    <w:rsid w:val="1F9077A5"/>
    <w:rsid w:val="1FE842E7"/>
    <w:rsid w:val="205234AE"/>
    <w:rsid w:val="20A00477"/>
    <w:rsid w:val="2D425124"/>
    <w:rsid w:val="3FF9428E"/>
    <w:rsid w:val="5481728A"/>
    <w:rsid w:val="719E4D78"/>
    <w:rsid w:val="74597B71"/>
    <w:rsid w:val="787B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437</Words>
  <Characters>465</Characters>
  <Lines>0</Lines>
  <Paragraphs>0</Paragraphs>
  <TotalTime>2</TotalTime>
  <ScaleCrop>false</ScaleCrop>
  <LinksUpToDate>false</LinksUpToDate>
  <CharactersWithSpaces>467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2025-04-29T12:23:00Z</dcterms:created>
  <dc:creator>新昱</dc:creator>
  <cp:lastModifiedBy>新昱</cp:lastModifiedBy>
  <dcterms:modified xsi:type="dcterms:W3CDTF">2026-04-21T05:43:53Z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C3ADC536DBFD488A8860756415807C5C_13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