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版本号：RTZB-2026-200420260417001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附属中学勤砺楼主电缆改造项目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RTZB-2026-2004</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附属中学勤砺楼主电缆改造项目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RTZB-2026-2004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附属中学勤砺楼主电缆改造项目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陕西省西安市雁塔区西北大学桃园校区，为勤砺楼电缆改造工程，采用380/220V低压TN-S系统供电。供电电源由住宅区配电室引出，经室外原有管沟、既有预埋管道及部分直埋路径敷设，全长485米，最终接入教学楼配电间。包含但不限于：室外电缆敷设作业；原有管沟内新增支架安装；局部区域增设桥架；直埋段电缆的沟槽开挖与回填；施工涉及的绿化植被、路面的拆除及后期恢复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采购包1（附属中学勤砺楼主电缆改造）：属于专门面向中小企业采购。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主体：提供营业执照/事业单位法人登记证/非企业单位登记证/执业许可证，未提供的接受采购人通过国家企业信用信息公示系统（http://www.gsxt.gov.cn/index.html）进行相关信息的核实，并承担核实不到的后果；自然人提供身份证 。</w:t>
      </w:r>
    </w:p>
    <w:p>
      <w:pPr>
        <w:pStyle w:val="null3"/>
      </w:pPr>
      <w:r>
        <w:rPr>
          <w:rFonts w:ascii="仿宋_GB2312" w:hAnsi="仿宋_GB2312" w:cs="仿宋_GB2312" w:eastAsia="仿宋_GB2312"/>
        </w:rPr>
        <w:t>2、信用证明：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p>
      <w:pPr>
        <w:pStyle w:val="null3"/>
      </w:pPr>
      <w:r>
        <w:rPr>
          <w:rFonts w:ascii="仿宋_GB2312" w:hAnsi="仿宋_GB2312" w:cs="仿宋_GB2312" w:eastAsia="仿宋_GB2312"/>
        </w:rPr>
        <w:t>3、财务状况：提供2024或2025年度经第三方会计事务所审计过的财务报告，或磋商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p>
      <w:pPr>
        <w:pStyle w:val="null3"/>
      </w:pPr>
      <w:r>
        <w:rPr>
          <w:rFonts w:ascii="仿宋_GB2312" w:hAnsi="仿宋_GB2312" w:cs="仿宋_GB2312" w:eastAsia="仿宋_GB2312"/>
        </w:rPr>
        <w:t>4、纳税凭证：提供2025年4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5、社保缴纳凭证：提供2025年4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6、履约能力：提供具有履行本合同所必需的专业技术能力的书面声明。</w:t>
      </w:r>
    </w:p>
    <w:p>
      <w:pPr>
        <w:pStyle w:val="null3"/>
      </w:pPr>
      <w:r>
        <w:rPr>
          <w:rFonts w:ascii="仿宋_GB2312" w:hAnsi="仿宋_GB2312" w:cs="仿宋_GB2312" w:eastAsia="仿宋_GB2312"/>
        </w:rPr>
        <w:t>7、代表人授权：参加磋商的供应商代表需提供提法定代表人证明书和法定代表人授权书。</w:t>
      </w:r>
    </w:p>
    <w:p>
      <w:pPr>
        <w:pStyle w:val="null3"/>
      </w:pPr>
      <w:r>
        <w:rPr>
          <w:rFonts w:ascii="仿宋_GB2312" w:hAnsi="仿宋_GB2312" w:cs="仿宋_GB2312" w:eastAsia="仿宋_GB2312"/>
        </w:rPr>
        <w:t>8、企业资质：具备机电安装工程专业承包二级及以上资质、有效的安全生产许可证。提供资质证书及安全生产许可证。</w:t>
      </w:r>
    </w:p>
    <w:p>
      <w:pPr>
        <w:pStyle w:val="null3"/>
      </w:pPr>
      <w:r>
        <w:rPr>
          <w:rFonts w:ascii="仿宋_GB2312" w:hAnsi="仿宋_GB2312" w:cs="仿宋_GB2312" w:eastAsia="仿宋_GB2312"/>
        </w:rPr>
        <w:t>9、项目经理：拟派项目经理须为供应商单位注册的机电工程专业二级及以上注册建造师，具有安全生产考核合格证（B证）且无在建工程。提供证书及无在建工程书面声明。</w:t>
      </w:r>
    </w:p>
    <w:p>
      <w:pPr>
        <w:pStyle w:val="null3"/>
      </w:pPr>
      <w:r>
        <w:rPr>
          <w:rFonts w:ascii="仿宋_GB2312" w:hAnsi="仿宋_GB2312" w:cs="仿宋_GB2312" w:eastAsia="仿宋_GB2312"/>
        </w:rPr>
        <w:t>10、联合体形式：本项目不接受联合体，提供非联合体声明。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太白北路229号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说明：1.本采购包履约保证金为合同金额的5.0% 说明：供应商凭成交通知书向采购人缴纳成交金额的5%作为履约保证金。 2.缴纳信息： 户名：西北大学 开户银行：交通银行西安学府大街支行 账号： 611301015018001145006 3.履约保证金汇款后，可持银行回执到西北大学采购与招标办公室换取收据。待合同执行完毕、项目验收合格后凭验收单和缴款收据，履约保证金予以无息退还。如遇下列情况之一者，履约保证金不予退还，作为对采购人的赔偿： （1）合同签订后不能按合同时限要求完工的； （2）项目与合同不符或验收不合格的；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以成交价为基础计算下浮20%计取，供应商在下载成交通知书时一次性缴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踏勘时间：2026-04-29 09:30:00</w:t>
            </w:r>
          </w:p>
          <w:p>
            <w:pPr>
              <w:pStyle w:val="null3"/>
              <w:ind w:firstLine="975"/>
            </w:pPr>
            <w:r>
              <w:rPr>
                <w:rFonts w:ascii="仿宋_GB2312" w:hAnsi="仿宋_GB2312" w:cs="仿宋_GB2312" w:eastAsia="仿宋_GB2312"/>
              </w:rPr>
              <w:t>踏勘地点：西北大学附属中学桃园校区</w:t>
            </w:r>
          </w:p>
          <w:p>
            <w:pPr>
              <w:pStyle w:val="null3"/>
              <w:ind w:firstLine="975"/>
            </w:pPr>
            <w:r>
              <w:rPr>
                <w:rFonts w:ascii="仿宋_GB2312" w:hAnsi="仿宋_GB2312" w:cs="仿宋_GB2312" w:eastAsia="仿宋_GB2312"/>
              </w:rPr>
              <w:t>联系人：水工</w:t>
            </w:r>
          </w:p>
          <w:p>
            <w:pPr>
              <w:pStyle w:val="null3"/>
              <w:ind w:firstLine="975"/>
            </w:pPr>
            <w:r>
              <w:rPr>
                <w:rFonts w:ascii="仿宋_GB2312" w:hAnsi="仿宋_GB2312" w:cs="仿宋_GB2312" w:eastAsia="仿宋_GB2312"/>
              </w:rPr>
              <w:t>联系电话号码：15332338330</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549,962.16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附属中学勤砺楼主电缆改造项目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标的名称：附属中学勤砺楼主电缆改造项目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1. 完成素土开挖及恢复作业，人行道开挖及恢复作业，施工后场地原貌恢复。</w:t>
            </w:r>
          </w:p>
          <w:p>
            <w:pPr>
              <w:pStyle w:val="null3"/>
              <w:jc w:val="both"/>
            </w:pPr>
            <w:r>
              <w:rPr>
                <w:rFonts w:ascii="仿宋_GB2312" w:hAnsi="仿宋_GB2312" w:cs="仿宋_GB2312" w:eastAsia="仿宋_GB2312"/>
                <w:sz w:val="24"/>
                <w:color w:val="0000FF"/>
              </w:rPr>
              <w:t>2. 安装电力支架，为电缆敷设提供支撑；新建电缆桥架，优化电缆布线环境。</w:t>
            </w:r>
          </w:p>
          <w:p>
            <w:pPr>
              <w:pStyle w:val="null3"/>
              <w:jc w:val="both"/>
            </w:pPr>
            <w:r>
              <w:rPr>
                <w:rFonts w:ascii="仿宋_GB2312" w:hAnsi="仿宋_GB2312" w:cs="仿宋_GB2312" w:eastAsia="仿宋_GB2312"/>
                <w:sz w:val="24"/>
                <w:color w:val="0000FF"/>
              </w:rPr>
              <w:t>3. 敷设YJV22-1kV-4*185+1*95型号电缆，同时制作安装2套电缆终端头，保障电缆连接安全；通过水钻开孔1处，实现电缆穿墙等路径衔接。</w:t>
            </w:r>
          </w:p>
          <w:p>
            <w:pPr>
              <w:pStyle w:val="null3"/>
            </w:pPr>
            <w:r>
              <w:rPr>
                <w:rFonts w:ascii="仿宋_GB2312" w:hAnsi="仿宋_GB2312" w:cs="仿宋_GB2312" w:eastAsia="仿宋_GB2312"/>
                <w:sz w:val="24"/>
                <w:color w:val="0000FF"/>
              </w:rPr>
              <w:t>4. 完成施工垃圾清运等。详见图纸及工程量清单。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color w:val="0000FF"/>
              </w:rPr>
              <w:t>工程质量要求：本工程质量应达到国家质量评定合格标准并符合甲方的使用需要。</w:t>
            </w:r>
          </w:p>
          <w:p>
            <w:pPr>
              <w:pStyle w:val="null3"/>
            </w:pPr>
            <w:r>
              <w:rPr>
                <w:rFonts w:ascii="仿宋_GB2312" w:hAnsi="仿宋_GB2312" w:cs="仿宋_GB2312" w:eastAsia="仿宋_GB2312"/>
                <w:sz w:val="24"/>
                <w:color w:val="0000FF"/>
              </w:rPr>
              <w:t>安全文明要求：严格按照安全文明施工标准进行管理，全封闭施工，严格执行施工规范、安全操作规程、防火安全规定、环境保护规定。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FF"/>
              </w:rPr>
              <w:t>中标</w:t>
            </w:r>
            <w:r>
              <w:rPr>
                <w:rFonts w:ascii="仿宋_GB2312" w:hAnsi="仿宋_GB2312" w:cs="仿宋_GB2312" w:eastAsia="仿宋_GB2312"/>
                <w:sz w:val="24"/>
                <w:color w:val="0000FF"/>
              </w:rPr>
              <w:t>/成交供应商所交付工程不符合其投标承诺，存在偷工减料、以次充好情形的，采购人要求更换一次后仍不符合约定的，采购人有权解除采购合同，没收履约保证金，并将有关情况上报政府采购监管部门处理。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执行国家现行施工验收规范及其他相关标准和采购文件的要求。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1.工期：25日历天 2.付款方式：待工程竣工验收合格后付至合同金额的80%；经学校审计后付至审定金额的100%；但前期支付金额超过审定金额的成交人应当退还。 3.质量标准：达到国家现行施工验收规范合格标准，并符合甲方的使用需要。 4.质保期：验收合格后5年。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须通过电子化交易平台上传响应文件，另外还需在磋商截止时间前向代理机构递交密封完好的电子化交易系统生成的纸质版响应文件壹份（胶装，密封袋外层标注供应商名称和项目名称）。代理机构对递交的文件签收，由监标人查验密封情况并记录，开标后交磋商小组，作为评审的辅助资料。 递交方式：现场递交，或顺丰邮寄 2.供应商请仔细阅读招标文件《第一章 竞争性磋商邀请》第六条“电子化采购相关事项”，提前做好线上开标准备。 3.本项目磋商环节在电子化交易系统线上进行，供应商需自行了解系统磋商的要求和操作流程。未按流程操作或无法联系以及供应商自身原因错过磋商的视为自动放弃磋商，其磋商无效。 4.本项目采用两次报价，响应文件中的报价为首次报价，磋商后的报价为最终报价，评审按最终报价评审。 5.①中小企业判定： 是否属于中小企业，供应商按《政府采购促进中小企业发展管理办法》（财库〔2020〕46号）、《统计上大中小微型企业划分办法（2017）》（国统字﹝2017﹞213号）建筑业划型标准判定，并承担责任。如判定原则与第四章及附件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6.采用保函（银行或担保公司出具的)形式交纳磋商保证金的，供应商需在磋商截止时间前将保函递交代理机构并换取收据，并将收据作为保证金的交纳凭证上传至交易系统，在开标时查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法人主体</w:t>
            </w:r>
          </w:p>
        </w:tc>
        <w:tc>
          <w:tcPr>
            <w:tcW w:type="dxa" w:w="3322"/>
          </w:tcPr>
          <w:p>
            <w:pPr>
              <w:pStyle w:val="null3"/>
            </w:pPr>
            <w:r>
              <w:rPr>
                <w:rFonts w:ascii="仿宋_GB2312" w:hAnsi="仿宋_GB2312" w:cs="仿宋_GB2312" w:eastAsia="仿宋_GB2312"/>
              </w:rPr>
              <w:t>提供营业执照/事业单位法人登记证/非企业单位登记证/执业许可证，未提供的接受采购人通过国家企业信用信息公示系统（http://www.gsxt.gov.cn/index.html）进行相关信息的核实，并承担核实不到的后果；自然人提供身份证 。</w:t>
            </w:r>
          </w:p>
        </w:tc>
        <w:tc>
          <w:tcPr>
            <w:tcW w:type="dxa" w:w="1661"/>
          </w:tcPr>
          <w:p>
            <w:pPr>
              <w:pStyle w:val="null3"/>
            </w:pPr>
            <w:r>
              <w:rPr>
                <w:rFonts w:ascii="仿宋_GB2312" w:hAnsi="仿宋_GB2312" w:cs="仿宋_GB2312" w:eastAsia="仿宋_GB2312"/>
              </w:rPr>
              <w:t>注册证照.docx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未被各级建设诚信信息平台被列为投标受限制的行为人，参加本次政府采购活动前3年内在经营活动中没有重大违纪，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第三方会计事务所审计过的财务报告，或磋商截止时间前90天内基本账户银行出具的资信证明。注：①提供财务报告的，内容至少包括审计报告、附注。审计报告需具有注册会计师行业统一监管平台赋予的验证码。②提供资信证明的，必须提供资信证明全部页以及基本户信息（提供开户许可证复印件或提供基本银行账户信息复印件加盖公章）。银行出具的存款证明不能代替资信证明，存款证明无效。</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纳税凭证</w:t>
            </w:r>
          </w:p>
        </w:tc>
        <w:tc>
          <w:tcPr>
            <w:tcW w:type="dxa" w:w="3322"/>
          </w:tcPr>
          <w:p>
            <w:pPr>
              <w:pStyle w:val="null3"/>
            </w:pPr>
            <w:r>
              <w:rPr>
                <w:rFonts w:ascii="仿宋_GB2312" w:hAnsi="仿宋_GB2312" w:cs="仿宋_GB2312" w:eastAsia="仿宋_GB2312"/>
              </w:rPr>
              <w:t>提供2025年4月1日至今至少一个月依法纳税的相关凭证(任意税种)；依法免税或无须缴纳税收的应提供相关证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纳税证明.docx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社保缴纳凭证</w:t>
            </w:r>
          </w:p>
        </w:tc>
        <w:tc>
          <w:tcPr>
            <w:tcW w:type="dxa" w:w="3322"/>
          </w:tcPr>
          <w:p>
            <w:pPr>
              <w:pStyle w:val="null3"/>
            </w:pPr>
            <w:r>
              <w:rPr>
                <w:rFonts w:ascii="仿宋_GB2312" w:hAnsi="仿宋_GB2312" w:cs="仿宋_GB2312" w:eastAsia="仿宋_GB2312"/>
              </w:rPr>
              <w:t>提供2025年4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履约能力声明.docx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代表人授权</w:t>
            </w:r>
          </w:p>
        </w:tc>
        <w:tc>
          <w:tcPr>
            <w:tcW w:type="dxa" w:w="3322"/>
          </w:tcPr>
          <w:p>
            <w:pPr>
              <w:pStyle w:val="null3"/>
            </w:pPr>
            <w:r>
              <w:rPr>
                <w:rFonts w:ascii="仿宋_GB2312" w:hAnsi="仿宋_GB2312" w:cs="仿宋_GB2312" w:eastAsia="仿宋_GB2312"/>
              </w:rPr>
              <w:t>参加磋商的供应商代表需提供提法定代表人证明书和法定代表人授权书。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具备机电安装工程专业承包二级及以上资质、有效的安全生产许可证。提供资质证书及安全生产许可证。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拟派项目经理须为供应商单位注册的机电工程专业二级及以上注册建造师，具有安全生产考核合格证（B证）且无在建工程。提供证书及无在建工程书面声明。</w:t>
            </w:r>
          </w:p>
        </w:tc>
        <w:tc>
          <w:tcPr>
            <w:tcW w:type="dxa" w:w="1661"/>
          </w:tcPr>
          <w:p>
            <w:pPr>
              <w:pStyle w:val="null3"/>
            </w:pPr>
            <w:r>
              <w:rPr>
                <w:rFonts w:ascii="仿宋_GB2312" w:hAnsi="仿宋_GB2312" w:cs="仿宋_GB2312" w:eastAsia="仿宋_GB2312"/>
              </w:rPr>
              <w:t>项目经理资格证书及无在建声明.docx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政府采购评审中出现下列情形之一的，磋商小组应当启动异常低价投标审查程序： ①响应报价低于全部通过符合性审查供应商响应报价平均值50%的，即响应报价&lt;全部通过符合性审查供应商响应报价平均值×50%； ②响应报价低于通过符合性审查的次低报价供应商响应报价50%的，即响应报价&lt;通过符合性审查的次低报价供应商响应报价×50%； ③响应报价低于采购项目最高限价45%的，即响应报价&lt;采购项目最高限价×45%； ④磋商小组基于专业判断，认为供应商报价过低，有可能影响产品质量或者不能诚信履约的其他情形。 相关法律法规对供应商报价有规定的，从其规定。 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按格式填写供应商名称，至少以下文件中供应商名称应与营业执照、公章一致。1.响应文件封面。2.响应函。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未超过最高限价且无选择性报价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25日历天</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验收合格后5年</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达到国家现行施工验收规范合格标准，并符合甲方的使用需要。</w:t>
            </w:r>
          </w:p>
        </w:tc>
        <w:tc>
          <w:tcPr>
            <w:tcW w:type="dxa" w:w="1661"/>
          </w:tcPr>
          <w:p>
            <w:pPr>
              <w:pStyle w:val="null3"/>
            </w:pPr>
            <w:r>
              <w:rPr>
                <w:rFonts w:ascii="仿宋_GB2312" w:hAnsi="仿宋_GB2312" w:cs="仿宋_GB2312" w:eastAsia="仿宋_GB2312"/>
              </w:rPr>
              <w:t>质量标准.docx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1.合同价款 ①本项目采用固定综合单价合同。 ②综合单价修正系数： 修正系数=磋商最终报价/首次报价。 2.变更、签证价款①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重新组价并上报，组价依据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 3.付款方式：待工程竣工验收合格后付至合同金额的80%；经学校审计后付至审定金额的100%；但前期支付金额超过审定金额的成交人应当退还。 对以上商务条款响应无负偏离。</w:t>
            </w:r>
          </w:p>
        </w:tc>
        <w:tc>
          <w:tcPr>
            <w:tcW w:type="dxa" w:w="1661"/>
          </w:tcPr>
          <w:p>
            <w:pPr>
              <w:pStyle w:val="null3"/>
            </w:pPr>
            <w:r>
              <w:rPr>
                <w:rFonts w:ascii="仿宋_GB2312" w:hAnsi="仿宋_GB2312" w:cs="仿宋_GB2312" w:eastAsia="仿宋_GB2312"/>
              </w:rPr>
              <w:t>主要商务条款响应偏离表.docx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已标价工程量清单的扉页（仅指投标总价扉页）需加盖有注册或登记在工程造价咨询企业的造价人员签字并盖执业印章</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供应商提供针对本项目的整体施工方案，内容至少包括①施工整体流程，关键部位施工方案(至少包含施工准备工作、施工方法及措施) ；②施工工艺；③劳动力配置计划；④施工现场设施保护及成品保护方案。施工方案应符合采购项目特点及要求，描述详尽且有利于项目实施。 上述4项内容，每提供1项内容计2分，每项内容存在1处瑕疵扣0.5分，扣完为止，满分8分。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整体施工方案.docx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劳动力、机械设备和主要材料的投入计划）；②新技术、新产品、新工艺、新材料的应用；③工程竣工验收、结算、移交的组织和配合措施。 上述3项内容，每提供1项内容计1分，每项内容存在1处瑕疵扣0.5分，扣完为止，满分3分。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供应商针对本项目工期要求及施工特点，提供针对本项目的施工进度计划，内容至少包括①工程总进度施工计划安排；②提供施工进度计划横道图；③进度控制保证措施。 上述3项内容，每提供1项内容计1分，每项内容存在1处瑕疵扣0.5分，扣完为止，满分3分。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工程质量保障方案</w:t>
            </w:r>
          </w:p>
        </w:tc>
        <w:tc>
          <w:tcPr>
            <w:tcW w:type="dxa" w:w="2492"/>
          </w:tcPr>
          <w:p>
            <w:pPr>
              <w:pStyle w:val="null3"/>
            </w:pPr>
            <w:r>
              <w:rPr>
                <w:rFonts w:ascii="仿宋_GB2312" w:hAnsi="仿宋_GB2312" w:cs="仿宋_GB2312" w:eastAsia="仿宋_GB2312"/>
              </w:rPr>
              <w:t>供应商提供针对本项目的工程质量保障方案，内容至少包括①施工前期、中期、后期质量保障措施；②质量全过程检查制度；③关键点及重难点分析及应对措施。 上述3项内容，每提供1项内容计1分，每项内容存在1处瑕疵扣0.5分，扣完为止，满分3分。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工程质量保障方案.docx</w:t>
            </w:r>
          </w:p>
        </w:tc>
      </w:tr>
      <w:tr>
        <w:tc>
          <w:tcPr>
            <w:tcW w:type="dxa" w:w="831"/>
            <w:vMerge/>
          </w:tcPr>
          <w:p/>
        </w:tc>
        <w:tc>
          <w:tcPr>
            <w:tcW w:type="dxa" w:w="1661"/>
          </w:tcPr>
          <w:p>
            <w:pPr>
              <w:pStyle w:val="null3"/>
            </w:pPr>
            <w:r>
              <w:rPr>
                <w:rFonts w:ascii="仿宋_GB2312" w:hAnsi="仿宋_GB2312" w:cs="仿宋_GB2312" w:eastAsia="仿宋_GB2312"/>
              </w:rPr>
              <w:t>安全文明环保施工方案</w:t>
            </w:r>
          </w:p>
        </w:tc>
        <w:tc>
          <w:tcPr>
            <w:tcW w:type="dxa" w:w="2492"/>
          </w:tcPr>
          <w:p>
            <w:pPr>
              <w:pStyle w:val="null3"/>
            </w:pPr>
            <w:r>
              <w:rPr>
                <w:rFonts w:ascii="仿宋_GB2312" w:hAnsi="仿宋_GB2312" w:cs="仿宋_GB2312" w:eastAsia="仿宋_GB2312"/>
              </w:rPr>
              <w:t>供应商提供针对本项目的安全文明施工方案，内容至少包括①安全管理组织机构、安全生产管理制度及安全保障措施；②文明施工与环境管理的组织机构及文明施工与现场环境保护的控制措施；③垃圾处理。 上述3项内容，每提供1项内容计1分，每项内容存在1处瑕疵扣0.5分，扣完为止，满分3分。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安全文明环保施工方案.docx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供应商提供针对本项目的组织机构，内容至少包括①组织机构框架及岗位设置；②项目人员构成情况（岗位设置、专业种类及能力、有技术职称的人员比例）。 上述2项内容，每提供1项内容计1.5分，每项内容存在1处瑕疵扣0.5分，扣完为止，满分3分。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1.项目经理具有工程类高级及以上职称的得2分，中级职称的得1分，其他的不得分。注：需提供身份证、职称证。 2.项目经理具有类似项目（需包含电缆线敷设施工）经验，每提供1份2023年4月1日至今业绩得1分，最高3分。注：需提供合同或验收报告或中标公告截图，且合同或验收报告或中标公告截图中能显示项目经理的名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项目经理职称及业绩.docx</w:t>
            </w:r>
          </w:p>
        </w:tc>
      </w:tr>
      <w:tr>
        <w:tc>
          <w:tcPr>
            <w:tcW w:type="dxa" w:w="831"/>
            <w:vMerge/>
          </w:tcPr>
          <w:p/>
        </w:tc>
        <w:tc>
          <w:tcPr>
            <w:tcW w:type="dxa" w:w="1661"/>
          </w:tcPr>
          <w:p>
            <w:pPr>
              <w:pStyle w:val="null3"/>
            </w:pPr>
            <w:r>
              <w:rPr>
                <w:rFonts w:ascii="仿宋_GB2312" w:hAnsi="仿宋_GB2312" w:cs="仿宋_GB2312" w:eastAsia="仿宋_GB2312"/>
              </w:rPr>
              <w:t>主要材料清单</w:t>
            </w:r>
          </w:p>
        </w:tc>
        <w:tc>
          <w:tcPr>
            <w:tcW w:type="dxa" w:w="2492"/>
          </w:tcPr>
          <w:p>
            <w:pPr>
              <w:pStyle w:val="null3"/>
            </w:pPr>
            <w:r>
              <w:rPr>
                <w:rFonts w:ascii="仿宋_GB2312" w:hAnsi="仿宋_GB2312" w:cs="仿宋_GB2312" w:eastAsia="仿宋_GB2312"/>
              </w:rPr>
              <w:t>供应商针对本项目主要材料需求，提供本项目施工所需主要材料清单，品目完整，品牌明确完整计4分，内容不完整或品牌不明确不计分。 主要材料至少包含电缆、电缆头、桥架、桥架支架、电缆沟支架、接地母线。</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主要材料清单.docx</w:t>
            </w:r>
          </w:p>
        </w:tc>
      </w:tr>
      <w:tr>
        <w:tc>
          <w:tcPr>
            <w:tcW w:type="dxa" w:w="831"/>
            <w:vMerge/>
          </w:tcPr>
          <w:p/>
        </w:tc>
        <w:tc>
          <w:tcPr>
            <w:tcW w:type="dxa" w:w="1661"/>
          </w:tcPr>
          <w:p>
            <w:pPr>
              <w:pStyle w:val="null3"/>
            </w:pPr>
            <w:r>
              <w:rPr>
                <w:rFonts w:ascii="仿宋_GB2312" w:hAnsi="仿宋_GB2312" w:cs="仿宋_GB2312" w:eastAsia="仿宋_GB2312"/>
              </w:rPr>
              <w:t>主要材料货源渠道</w:t>
            </w:r>
          </w:p>
        </w:tc>
        <w:tc>
          <w:tcPr>
            <w:tcW w:type="dxa" w:w="2492"/>
          </w:tcPr>
          <w:p>
            <w:pPr>
              <w:pStyle w:val="null3"/>
            </w:pPr>
            <w:r>
              <w:rPr>
                <w:rFonts w:ascii="仿宋_GB2312" w:hAnsi="仿宋_GB2312" w:cs="仿宋_GB2312" w:eastAsia="仿宋_GB2312"/>
              </w:rPr>
              <w:t>供应商提供本项目施工所须主要材料（电缆、电缆头、桥架、桥架支架、电缆沟支架、接地母线）货源渠道证明，包括但不限于销售协议或厂家授权等。每提供一个产品计0.5分，满分3分。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主要材料货源渠道.docx</w:t>
            </w:r>
          </w:p>
        </w:tc>
      </w:tr>
      <w:tr>
        <w:tc>
          <w:tcPr>
            <w:tcW w:type="dxa" w:w="831"/>
            <w:vMerge/>
          </w:tcPr>
          <w:p/>
        </w:tc>
        <w:tc>
          <w:tcPr>
            <w:tcW w:type="dxa" w:w="1661"/>
          </w:tcPr>
          <w:p>
            <w:pPr>
              <w:pStyle w:val="null3"/>
            </w:pPr>
            <w:r>
              <w:rPr>
                <w:rFonts w:ascii="仿宋_GB2312" w:hAnsi="仿宋_GB2312" w:cs="仿宋_GB2312" w:eastAsia="仿宋_GB2312"/>
              </w:rPr>
              <w:t>主要材料选型说明</w:t>
            </w:r>
          </w:p>
        </w:tc>
        <w:tc>
          <w:tcPr>
            <w:tcW w:type="dxa" w:w="2492"/>
          </w:tcPr>
          <w:p>
            <w:pPr>
              <w:pStyle w:val="null3"/>
            </w:pPr>
            <w:r>
              <w:rPr>
                <w:rFonts w:ascii="仿宋_GB2312" w:hAnsi="仿宋_GB2312" w:cs="仿宋_GB2312" w:eastAsia="仿宋_GB2312"/>
              </w:rPr>
              <w:t>供应商提供本项目施工所供主材选型说明（需包括规格型号、技术说明或制作工艺等）及质量保障措施。 产品符合项目特征，资料齐全，满足项目实施要求，无瑕疵，得7分，内容每存在1处瑕疵扣1分，扣完为止。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主要材料选型说明.docx</w:t>
            </w:r>
          </w:p>
        </w:tc>
      </w:tr>
      <w:tr>
        <w:tc>
          <w:tcPr>
            <w:tcW w:type="dxa" w:w="831"/>
            <w:vMerge/>
          </w:tcPr>
          <w:p/>
        </w:tc>
        <w:tc>
          <w:tcPr>
            <w:tcW w:type="dxa" w:w="1661"/>
          </w:tcPr>
          <w:p>
            <w:pPr>
              <w:pStyle w:val="null3"/>
            </w:pPr>
            <w:r>
              <w:rPr>
                <w:rFonts w:ascii="仿宋_GB2312" w:hAnsi="仿宋_GB2312" w:cs="仿宋_GB2312" w:eastAsia="仿宋_GB2312"/>
              </w:rPr>
              <w:t>主材质量保证承诺</w:t>
            </w:r>
          </w:p>
        </w:tc>
        <w:tc>
          <w:tcPr>
            <w:tcW w:type="dxa" w:w="2492"/>
          </w:tcPr>
          <w:p>
            <w:pPr>
              <w:pStyle w:val="null3"/>
            </w:pPr>
            <w:r>
              <w:rPr>
                <w:rFonts w:ascii="仿宋_GB2312" w:hAnsi="仿宋_GB2312" w:cs="仿宋_GB2312" w:eastAsia="仿宋_GB2312"/>
              </w:rPr>
              <w:t>供应商提供施工所须主要材料无假冒产品、无翻新产品的书面承诺并加盖供应商公章，得3分。 注：未提供承诺书不得分，承诺书格式自拟。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主材质量保证承诺.docx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4月1日至今同类项目合同扫描件（以合同签订日期为准）（已完工），扫描件必须清晰体现签约主体和日期、项目名称及内容、合同金额等核心要素，否则不计为有效业绩。每提供1个有效业绩得1分，最高得5分。 备注：响应文件中提供合同扫描件加盖供应商公章，并提供验收资料等证明文件。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在满足采购文件要求质保期（5年）的基础上，供应商可根据自身情况延长质保年限，质保期每增加1年得1分，最高5分。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保修期内服务方案</w:t>
            </w:r>
          </w:p>
        </w:tc>
        <w:tc>
          <w:tcPr>
            <w:tcW w:type="dxa" w:w="2492"/>
          </w:tcPr>
          <w:p>
            <w:pPr>
              <w:pStyle w:val="null3"/>
            </w:pPr>
            <w:r>
              <w:rPr>
                <w:rFonts w:ascii="仿宋_GB2312" w:hAnsi="仿宋_GB2312" w:cs="仿宋_GB2312" w:eastAsia="仿宋_GB2312"/>
              </w:rPr>
              <w:t>供应商针对本项目有详细具体的保修期内服务方案，包括但不限于①保修期内服务内容，问题响应及解决时间；②服务人员配备。 上述2项内容，每提供1项内容计2.5分，每项内容存在1处瑕疵扣0.5分，扣完为止，满分5分。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保修期内服务方案.docx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40分。其他供应商的价格分按照下列公式计算：磋商报价得分=(磋商基准价/磋商报价)×40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详见附件：履约能力声明.docx</w:t>
      </w:r>
    </w:p>
    <w:p>
      <w:pPr>
        <w:pStyle w:val="null3"/>
        <w:ind w:firstLine="960"/>
      </w:pPr>
      <w:r>
        <w:rPr>
          <w:rFonts w:ascii="仿宋_GB2312" w:hAnsi="仿宋_GB2312" w:cs="仿宋_GB2312" w:eastAsia="仿宋_GB2312"/>
        </w:rPr>
        <w:t>详见附件：纳税证明.docx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详见附件：项目经理资格证书及无在建声明.docx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详见附件：注册证照.docx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详见附件：安全文明环保施工方案.docx</w:t>
      </w:r>
    </w:p>
    <w:p>
      <w:pPr>
        <w:pStyle w:val="null3"/>
        <w:ind w:firstLine="960"/>
      </w:pPr>
      <w:r>
        <w:rPr>
          <w:rFonts w:ascii="仿宋_GB2312" w:hAnsi="仿宋_GB2312" w:cs="仿宋_GB2312" w:eastAsia="仿宋_GB2312"/>
        </w:rPr>
        <w:t>详见附件：保修期内服务方案.docx</w:t>
      </w:r>
    </w:p>
    <w:p>
      <w:pPr>
        <w:pStyle w:val="null3"/>
        <w:ind w:firstLine="960"/>
      </w:pPr>
      <w:r>
        <w:rPr>
          <w:rFonts w:ascii="仿宋_GB2312" w:hAnsi="仿宋_GB2312" w:cs="仿宋_GB2312" w:eastAsia="仿宋_GB2312"/>
        </w:rPr>
        <w:t>详见附件：工程质量保障方案.docx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详见附件：项目经理职称及业绩.docx</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详见附件：整体施工方案.docx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详见附件：主材质量保证承诺.docx</w:t>
      </w:r>
    </w:p>
    <w:p>
      <w:pPr>
        <w:pStyle w:val="null3"/>
        <w:ind w:firstLine="960"/>
      </w:pPr>
      <w:r>
        <w:rPr>
          <w:rFonts w:ascii="仿宋_GB2312" w:hAnsi="仿宋_GB2312" w:cs="仿宋_GB2312" w:eastAsia="仿宋_GB2312"/>
        </w:rPr>
        <w:t>详见附件：主要材料货源渠道.docx</w:t>
      </w:r>
    </w:p>
    <w:p>
      <w:pPr>
        <w:pStyle w:val="null3"/>
        <w:ind w:firstLine="960"/>
      </w:pPr>
      <w:r>
        <w:rPr>
          <w:rFonts w:ascii="仿宋_GB2312" w:hAnsi="仿宋_GB2312" w:cs="仿宋_GB2312" w:eastAsia="仿宋_GB2312"/>
        </w:rPr>
        <w:t>详见附件：主要材料清单.docx</w:t>
      </w:r>
    </w:p>
    <w:p>
      <w:pPr>
        <w:pStyle w:val="null3"/>
        <w:ind w:firstLine="960"/>
      </w:pPr>
      <w:r>
        <w:rPr>
          <w:rFonts w:ascii="仿宋_GB2312" w:hAnsi="仿宋_GB2312" w:cs="仿宋_GB2312" w:eastAsia="仿宋_GB2312"/>
        </w:rPr>
        <w:t>详见附件：主要材料选型说明.docx</w:t>
      </w:r>
    </w:p>
    <w:p>
      <w:pPr>
        <w:pStyle w:val="null3"/>
        <w:ind w:firstLine="960"/>
      </w:pPr>
      <w:r>
        <w:rPr>
          <w:rFonts w:ascii="仿宋_GB2312" w:hAnsi="仿宋_GB2312" w:cs="仿宋_GB2312" w:eastAsia="仿宋_GB2312"/>
        </w:rPr>
        <w:t>详见附件：主要商务条款响应偏离表.docx</w:t>
      </w:r>
    </w:p>
    <w:p>
      <w:pPr>
        <w:pStyle w:val="null3"/>
        <w:ind w:firstLine="960"/>
      </w:pPr>
      <w:r>
        <w:rPr>
          <w:rFonts w:ascii="仿宋_GB2312" w:hAnsi="仿宋_GB2312" w:cs="仿宋_GB2312" w:eastAsia="仿宋_GB2312"/>
        </w:rPr>
        <w:t>详见附件：质量标准.docx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