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877D9">
      <w:pPr>
        <w:jc w:val="center"/>
        <w:rPr>
          <w:color w:val="auto"/>
          <w:sz w:val="28"/>
          <w:szCs w:val="22"/>
          <w:highlight w:val="none"/>
        </w:rPr>
      </w:pPr>
      <w:r>
        <w:rPr>
          <w:color w:val="auto"/>
          <w:sz w:val="28"/>
          <w:szCs w:val="22"/>
          <w:highlight w:val="none"/>
        </w:rPr>
        <w:t>____________</w:t>
      </w:r>
      <w:r>
        <w:rPr>
          <w:rFonts w:hint="eastAsia"/>
          <w:color w:val="auto"/>
          <w:sz w:val="28"/>
          <w:szCs w:val="22"/>
          <w:highlight w:val="none"/>
        </w:rPr>
        <w:t>项目</w:t>
      </w:r>
    </w:p>
    <w:p w14:paraId="7C8ACC2F">
      <w:pPr>
        <w:pStyle w:val="8"/>
        <w:ind w:firstLine="560" w:firstLineChars="200"/>
        <w:jc w:val="center"/>
        <w:rPr>
          <w:rFonts w:hint="eastAsia" w:ascii="仿宋" w:hAnsi="仿宋"/>
          <w:color w:val="auto"/>
          <w:sz w:val="28"/>
          <w:szCs w:val="28"/>
          <w:highlight w:val="none"/>
        </w:rPr>
      </w:pPr>
    </w:p>
    <w:p w14:paraId="0C23E35C">
      <w:pPr>
        <w:pStyle w:val="8"/>
        <w:ind w:firstLine="560" w:firstLineChars="200"/>
        <w:jc w:val="center"/>
        <w:rPr>
          <w:rFonts w:ascii="仿宋" w:hAnsi="仿宋"/>
          <w:color w:val="auto"/>
          <w:sz w:val="28"/>
          <w:szCs w:val="28"/>
          <w:highlight w:val="none"/>
        </w:rPr>
      </w:pPr>
    </w:p>
    <w:p w14:paraId="76C9271D">
      <w:pPr>
        <w:pStyle w:val="8"/>
        <w:ind w:firstLine="560" w:firstLineChars="200"/>
        <w:rPr>
          <w:rFonts w:ascii="仿宋" w:hAnsi="仿宋"/>
          <w:color w:val="auto"/>
          <w:sz w:val="28"/>
          <w:szCs w:val="28"/>
          <w:highlight w:val="none"/>
        </w:rPr>
      </w:pPr>
    </w:p>
    <w:p w14:paraId="75C90F84">
      <w:pPr>
        <w:jc w:val="center"/>
        <w:rPr>
          <w:b/>
          <w:color w:val="auto"/>
          <w:sz w:val="28"/>
          <w:szCs w:val="22"/>
          <w:highlight w:val="none"/>
        </w:rPr>
      </w:pPr>
      <w:r>
        <w:rPr>
          <w:rFonts w:hint="eastAsia"/>
          <w:b/>
          <w:color w:val="auto"/>
          <w:sz w:val="28"/>
          <w:szCs w:val="22"/>
          <w:highlight w:val="none"/>
        </w:rPr>
        <w:t>合　　同</w:t>
      </w:r>
    </w:p>
    <w:p w14:paraId="2A1E5882">
      <w:pPr>
        <w:pStyle w:val="8"/>
        <w:ind w:firstLine="560" w:firstLineChars="200"/>
        <w:rPr>
          <w:rFonts w:ascii="仿宋" w:hAnsi="仿宋"/>
          <w:color w:val="auto"/>
          <w:sz w:val="28"/>
          <w:szCs w:val="28"/>
          <w:highlight w:val="none"/>
        </w:rPr>
      </w:pPr>
    </w:p>
    <w:p w14:paraId="2BBA2BA5">
      <w:pPr>
        <w:pStyle w:val="8"/>
        <w:ind w:firstLine="560" w:firstLineChars="200"/>
        <w:rPr>
          <w:rFonts w:ascii="仿宋" w:hAnsi="仿宋"/>
          <w:color w:val="auto"/>
          <w:sz w:val="28"/>
          <w:szCs w:val="28"/>
          <w:highlight w:val="none"/>
        </w:rPr>
      </w:pPr>
    </w:p>
    <w:p w14:paraId="3809B10B">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42B751CF">
      <w:pPr>
        <w:rPr>
          <w:color w:val="auto"/>
          <w:sz w:val="28"/>
          <w:szCs w:val="22"/>
          <w:highlight w:val="none"/>
        </w:rPr>
      </w:pPr>
    </w:p>
    <w:p w14:paraId="6CAA236C">
      <w:pPr>
        <w:rPr>
          <w:color w:val="auto"/>
          <w:sz w:val="28"/>
          <w:szCs w:val="22"/>
          <w:highlight w:val="none"/>
        </w:rPr>
      </w:pPr>
    </w:p>
    <w:p w14:paraId="2578F645">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采购人名称</w:t>
      </w:r>
      <w:r>
        <w:rPr>
          <w:rFonts w:hint="eastAsia"/>
          <w:color w:val="auto"/>
          <w:sz w:val="28"/>
          <w:szCs w:val="22"/>
          <w:highlight w:val="none"/>
          <w:lang w:eastAsia="zh-CN"/>
        </w:rPr>
        <w:t>）</w:t>
      </w:r>
    </w:p>
    <w:p w14:paraId="6FA77841">
      <w:pPr>
        <w:rPr>
          <w:color w:val="auto"/>
          <w:sz w:val="28"/>
          <w:szCs w:val="22"/>
          <w:highlight w:val="none"/>
        </w:rPr>
      </w:pPr>
    </w:p>
    <w:p w14:paraId="2857CE18">
      <w:pPr>
        <w:rPr>
          <w:color w:val="auto"/>
          <w:sz w:val="28"/>
          <w:szCs w:val="22"/>
          <w:highlight w:val="none"/>
        </w:rPr>
      </w:pPr>
    </w:p>
    <w:p w14:paraId="66B05981">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中标人名称</w:t>
      </w:r>
      <w:r>
        <w:rPr>
          <w:rFonts w:hint="eastAsia"/>
          <w:color w:val="auto"/>
          <w:sz w:val="28"/>
          <w:szCs w:val="22"/>
          <w:highlight w:val="none"/>
          <w:lang w:eastAsia="zh-CN"/>
        </w:rPr>
        <w:t>）</w:t>
      </w:r>
    </w:p>
    <w:p w14:paraId="42EC07EE">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highlight w:val="none"/>
        </w:rPr>
      </w:pPr>
      <w:r>
        <w:rPr>
          <w:color w:val="auto"/>
          <w:highlight w:val="none"/>
        </w:rPr>
        <w:br w:type="page"/>
      </w:r>
      <w:r>
        <w:rPr>
          <w:rFonts w:hint="eastAsia"/>
          <w:color w:val="auto"/>
          <w:sz w:val="28"/>
          <w:szCs w:val="22"/>
          <w:highlight w:val="none"/>
        </w:rPr>
        <w:t>根据《中华人民共和国政府采购法</w:t>
      </w:r>
      <w:r>
        <w:rPr>
          <w:rFonts w:hint="eastAsia"/>
          <w:color w:val="auto"/>
          <w:sz w:val="28"/>
          <w:szCs w:val="22"/>
          <w:highlight w:val="none"/>
          <w:lang w:eastAsia="zh-CN"/>
        </w:rPr>
        <w:t>》《</w:t>
      </w:r>
      <w:r>
        <w:rPr>
          <w:rFonts w:hint="eastAsia"/>
          <w:color w:val="auto"/>
          <w:sz w:val="28"/>
          <w:szCs w:val="22"/>
          <w:highlight w:val="none"/>
        </w:rPr>
        <w:t>中华人民共和国民法典》等有关法</w:t>
      </w:r>
      <w:r>
        <w:rPr>
          <w:rFonts w:hint="eastAsia" w:ascii="仿宋" w:hAnsi="仿宋"/>
          <w:color w:val="auto"/>
          <w:sz w:val="28"/>
          <w:szCs w:val="22"/>
          <w:highlight w:val="none"/>
        </w:rPr>
        <w:t>律法规规定，</w:t>
      </w:r>
      <w:r>
        <w:rPr>
          <w:rFonts w:ascii="仿宋" w:hAnsi="仿宋"/>
          <w:color w:val="auto"/>
          <w:sz w:val="28"/>
          <w:szCs w:val="22"/>
          <w:highlight w:val="none"/>
        </w:rPr>
        <w:t>____________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以下简称：“甲方”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通过</w:t>
      </w:r>
      <w:r>
        <w:rPr>
          <w:rFonts w:ascii="仿宋" w:hAnsi="仿宋"/>
          <w:color w:val="auto"/>
          <w:sz w:val="28"/>
          <w:szCs w:val="22"/>
          <w:highlight w:val="none"/>
        </w:rPr>
        <w:t>______</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采购方式</w:t>
      </w:r>
      <w:r>
        <w:rPr>
          <w:rFonts w:hint="eastAsia" w:ascii="仿宋" w:hAnsi="仿宋"/>
          <w:color w:val="auto"/>
          <w:sz w:val="28"/>
          <w:szCs w:val="22"/>
          <w:highlight w:val="none"/>
          <w:lang w:eastAsia="zh-CN"/>
        </w:rPr>
        <w:t>）</w:t>
      </w:r>
      <w:r>
        <w:rPr>
          <w:rFonts w:hint="eastAsia" w:ascii="仿宋" w:hAnsi="仿宋"/>
          <w:color w:val="auto"/>
          <w:sz w:val="28"/>
          <w:szCs w:val="22"/>
          <w:highlight w:val="none"/>
        </w:rPr>
        <w:t>确定</w:t>
      </w:r>
      <w:r>
        <w:rPr>
          <w:rFonts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中标人名称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以下简称：“乙方”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为</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的</w:t>
      </w:r>
      <w:r>
        <w:rPr>
          <w:rFonts w:ascii="仿宋" w:hAnsi="仿宋"/>
          <w:color w:val="auto"/>
          <w:sz w:val="28"/>
          <w:szCs w:val="22"/>
          <w:highlight w:val="none"/>
        </w:rPr>
        <w:t>______</w:t>
      </w:r>
      <w:r>
        <w:rPr>
          <w:rFonts w:hint="eastAsia" w:ascii="仿宋" w:hAnsi="仿宋" w:cs="SSJ-PK74820000023-Identity-H"/>
          <w:color w:val="auto"/>
          <w:kern w:val="0"/>
          <w:sz w:val="28"/>
          <w:szCs w:val="22"/>
          <w:highlight w:val="none"/>
        </w:rPr>
        <w:t>投标人</w:t>
      </w:r>
      <w:r>
        <w:rPr>
          <w:rFonts w:hint="eastAsia" w:ascii="仿宋" w:hAnsi="仿宋"/>
          <w:color w:val="auto"/>
          <w:sz w:val="28"/>
          <w:szCs w:val="22"/>
          <w:highlight w:val="none"/>
        </w:rPr>
        <w:t>。甲乙双方同意签署《</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合同编号：</w:t>
      </w:r>
      <w:r>
        <w:rPr>
          <w:rFonts w:ascii="仿宋" w:hAnsi="仿宋"/>
          <w:color w:val="auto"/>
          <w:sz w:val="28"/>
          <w:szCs w:val="22"/>
          <w:highlight w:val="none"/>
        </w:rPr>
        <w:t>______</w:t>
      </w:r>
      <w:r>
        <w:rPr>
          <w:rFonts w:hint="eastAsia" w:ascii="仿宋" w:hAnsi="仿宋"/>
          <w:color w:val="auto"/>
          <w:sz w:val="28"/>
          <w:szCs w:val="22"/>
          <w:highlight w:val="none"/>
        </w:rPr>
        <w:t>，以下简称：“合同”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7FB59A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1.</w:t>
      </w:r>
      <w:r>
        <w:rPr>
          <w:rFonts w:hint="eastAsia" w:ascii="仿宋" w:hAnsi="仿宋"/>
          <w:color w:val="auto"/>
          <w:sz w:val="28"/>
          <w:szCs w:val="22"/>
          <w:highlight w:val="none"/>
        </w:rPr>
        <w:t>合同文件</w:t>
      </w:r>
    </w:p>
    <w:p w14:paraId="7DCBA6D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下列文件是构成本合同不可分割的部分：</w:t>
      </w:r>
    </w:p>
    <w:p w14:paraId="18F561C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lang w:eastAsia="zh-CN"/>
        </w:rPr>
        <w:t>（1）</w:t>
      </w:r>
      <w:r>
        <w:rPr>
          <w:rFonts w:hint="eastAsia" w:ascii="仿宋" w:hAnsi="仿宋"/>
          <w:color w:val="auto"/>
          <w:sz w:val="28"/>
          <w:szCs w:val="22"/>
          <w:highlight w:val="none"/>
        </w:rPr>
        <w:t xml:space="preserve"> 合同条款；</w:t>
      </w:r>
    </w:p>
    <w:p w14:paraId="226EE68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（2）</w:t>
      </w:r>
      <w:r>
        <w:rPr>
          <w:rFonts w:hint="eastAsia" w:ascii="仿宋" w:hAnsi="仿宋"/>
          <w:color w:val="auto"/>
          <w:sz w:val="28"/>
          <w:szCs w:val="22"/>
          <w:highlight w:val="none"/>
        </w:rPr>
        <w:t xml:space="preserve"> 中标通知书；</w:t>
      </w:r>
    </w:p>
    <w:p w14:paraId="0C8BF14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（3）</w:t>
      </w:r>
      <w:r>
        <w:rPr>
          <w:rFonts w:hint="eastAsia" w:ascii="仿宋" w:hAnsi="仿宋"/>
          <w:color w:val="auto"/>
          <w:sz w:val="28"/>
          <w:szCs w:val="22"/>
          <w:highlight w:val="none"/>
        </w:rPr>
        <w:t xml:space="preserve"> 招标文件；</w:t>
      </w:r>
    </w:p>
    <w:p w14:paraId="15AED2F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（4）</w:t>
      </w:r>
      <w:r>
        <w:rPr>
          <w:rFonts w:hint="eastAsia" w:ascii="仿宋" w:hAnsi="仿宋"/>
          <w:color w:val="auto"/>
          <w:sz w:val="28"/>
          <w:szCs w:val="22"/>
          <w:highlight w:val="none"/>
        </w:rPr>
        <w:t xml:space="preserve"> 投标文件；</w:t>
      </w:r>
    </w:p>
    <w:p w14:paraId="40B05AC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（5）</w:t>
      </w:r>
      <w:r>
        <w:rPr>
          <w:rFonts w:hint="eastAsia" w:ascii="仿宋" w:hAnsi="仿宋"/>
          <w:color w:val="auto"/>
          <w:sz w:val="28"/>
          <w:szCs w:val="22"/>
          <w:highlight w:val="none"/>
        </w:rPr>
        <w:t xml:space="preserve"> </w:t>
      </w:r>
      <w:r>
        <w:rPr>
          <w:rFonts w:hint="eastAsia" w:ascii="仿宋" w:hAnsi="仿宋"/>
          <w:b/>
          <w:bCs/>
          <w:color w:val="auto"/>
          <w:sz w:val="28"/>
          <w:szCs w:val="22"/>
          <w:highlight w:val="none"/>
          <w:lang w:val="en-US" w:eastAsia="zh-CN"/>
        </w:rPr>
        <w:t>乙方须提供</w:t>
      </w:r>
      <w:r>
        <w:rPr>
          <w:rFonts w:hint="eastAsia" w:ascii="仿宋" w:hAnsi="仿宋"/>
          <w:b/>
          <w:bCs/>
          <w:color w:val="auto"/>
          <w:sz w:val="28"/>
          <w:szCs w:val="22"/>
          <w:highlight w:val="none"/>
        </w:rPr>
        <w:t>原厂质保承诺函</w:t>
      </w:r>
      <w:r>
        <w:rPr>
          <w:rFonts w:hint="eastAsia" w:ascii="仿宋" w:hAnsi="仿宋"/>
          <w:b/>
          <w:bCs/>
          <w:color w:val="auto"/>
          <w:sz w:val="28"/>
          <w:szCs w:val="22"/>
          <w:highlight w:val="none"/>
          <w:lang w:eastAsia="zh-CN"/>
        </w:rPr>
        <w:t>；</w:t>
      </w:r>
    </w:p>
    <w:p w14:paraId="3295C1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w:t>
      </w:r>
      <w:r>
        <w:rPr>
          <w:rFonts w:hint="eastAsia" w:ascii="仿宋" w:hAnsi="仿宋"/>
          <w:color w:val="auto"/>
          <w:sz w:val="28"/>
          <w:szCs w:val="22"/>
          <w:highlight w:val="none"/>
          <w:lang w:val="en-US" w:eastAsia="zh-CN"/>
        </w:rPr>
        <w:t>6</w:t>
      </w:r>
      <w:r>
        <w:rPr>
          <w:rFonts w:hint="eastAsia" w:ascii="仿宋" w:hAnsi="仿宋"/>
          <w:color w:val="auto"/>
          <w:sz w:val="28"/>
          <w:szCs w:val="22"/>
          <w:highlight w:val="none"/>
          <w:lang w:eastAsia="zh-CN"/>
        </w:rPr>
        <w:t>）</w:t>
      </w:r>
      <w:r>
        <w:rPr>
          <w:rFonts w:hint="eastAsia" w:ascii="仿宋" w:hAnsi="仿宋"/>
          <w:color w:val="auto"/>
          <w:sz w:val="28"/>
          <w:szCs w:val="22"/>
          <w:highlight w:val="none"/>
          <w:lang w:val="en-US" w:eastAsia="zh-CN"/>
        </w:rPr>
        <w:t xml:space="preserve"> </w:t>
      </w:r>
      <w:r>
        <w:rPr>
          <w:rFonts w:hint="eastAsia" w:ascii="仿宋" w:hAnsi="仿宋"/>
          <w:color w:val="auto"/>
          <w:sz w:val="28"/>
          <w:szCs w:val="22"/>
          <w:highlight w:val="none"/>
        </w:rPr>
        <w:t>其他</w:t>
      </w:r>
      <w:r>
        <w:rPr>
          <w:rFonts w:hint="eastAsia" w:ascii="仿宋" w:hAnsi="仿宋"/>
          <w:color w:val="auto"/>
          <w:sz w:val="28"/>
          <w:szCs w:val="22"/>
          <w:highlight w:val="none"/>
          <w:lang w:eastAsia="zh-CN"/>
        </w:rPr>
        <w:t>（</w:t>
      </w:r>
      <w:r>
        <w:rPr>
          <w:rFonts w:hint="eastAsia" w:ascii="仿宋" w:hAnsi="仿宋"/>
          <w:color w:val="auto"/>
          <w:sz w:val="28"/>
          <w:szCs w:val="22"/>
          <w:highlight w:val="none"/>
        </w:rPr>
        <w:t>根据实际情况需要增加的内容</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4B891A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组成合同的各项文件应互相解释，互为说明。合同文件的解释优先顺序以上述文件先后顺序为准。</w:t>
      </w:r>
    </w:p>
    <w:p w14:paraId="6DA793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2.</w:t>
      </w:r>
      <w:r>
        <w:rPr>
          <w:rFonts w:hint="eastAsia" w:ascii="仿宋" w:hAnsi="仿宋"/>
          <w:color w:val="auto"/>
          <w:sz w:val="28"/>
          <w:szCs w:val="22"/>
          <w:highlight w:val="none"/>
        </w:rPr>
        <w:t>合同主要标的及数量</w:t>
      </w:r>
    </w:p>
    <w:p w14:paraId="1D8D6F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乙方应按照合同的规定，提供本项目《招标</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文件》中有关要求的产品及服务，包括但不限于以下内容：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6879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D209E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序号</w:t>
            </w:r>
          </w:p>
        </w:tc>
        <w:tc>
          <w:tcPr>
            <w:tcW w:w="1656" w:type="dxa"/>
            <w:noWrap w:val="0"/>
            <w:vAlign w:val="center"/>
          </w:tcPr>
          <w:p w14:paraId="460B0D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货物名称</w:t>
            </w:r>
          </w:p>
        </w:tc>
        <w:tc>
          <w:tcPr>
            <w:tcW w:w="996" w:type="dxa"/>
            <w:noWrap w:val="0"/>
            <w:vAlign w:val="center"/>
          </w:tcPr>
          <w:p w14:paraId="62B5A8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品牌</w:t>
            </w:r>
          </w:p>
        </w:tc>
        <w:tc>
          <w:tcPr>
            <w:tcW w:w="1656" w:type="dxa"/>
            <w:noWrap w:val="0"/>
            <w:vAlign w:val="center"/>
          </w:tcPr>
          <w:p w14:paraId="1A2F34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型号规格</w:t>
            </w:r>
          </w:p>
        </w:tc>
        <w:tc>
          <w:tcPr>
            <w:tcW w:w="996" w:type="dxa"/>
            <w:noWrap w:val="0"/>
            <w:vAlign w:val="center"/>
          </w:tcPr>
          <w:p w14:paraId="12657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单价</w:t>
            </w:r>
          </w:p>
        </w:tc>
        <w:tc>
          <w:tcPr>
            <w:tcW w:w="996" w:type="dxa"/>
            <w:noWrap w:val="0"/>
            <w:vAlign w:val="center"/>
          </w:tcPr>
          <w:p w14:paraId="4680FF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数量</w:t>
            </w:r>
          </w:p>
        </w:tc>
        <w:tc>
          <w:tcPr>
            <w:tcW w:w="995" w:type="dxa"/>
            <w:noWrap w:val="0"/>
            <w:vAlign w:val="center"/>
          </w:tcPr>
          <w:p w14:paraId="4B742C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小计</w:t>
            </w:r>
          </w:p>
        </w:tc>
        <w:tc>
          <w:tcPr>
            <w:tcW w:w="995" w:type="dxa"/>
            <w:noWrap w:val="0"/>
            <w:vAlign w:val="center"/>
          </w:tcPr>
          <w:p w14:paraId="288FC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备注</w:t>
            </w:r>
          </w:p>
        </w:tc>
      </w:tr>
      <w:tr w14:paraId="1270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40892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3974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323A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BD73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0B68B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3DD4B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1023C5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7A6CC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5505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F24F8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EFB8A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C2DF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5CA29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127AC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9FBA3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7188DF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F3766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7B9E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5D897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F568A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00581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08279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4557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DB43C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BD119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2639ED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4D2E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9A60E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61672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5DA04E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7E1322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4C0A4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C1D5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4ED59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606D07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38A5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5EE1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2D18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21593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35EE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129E4D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8641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326E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D6BCB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66DD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28096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1A171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150131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54847A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76B832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022833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A8D6A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12FFD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highlight w:val="none"/>
              </w:rPr>
            </w:pPr>
          </w:p>
        </w:tc>
      </w:tr>
      <w:tr w14:paraId="1EF1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87C55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r>
              <w:rPr>
                <w:rFonts w:hint="eastAsia" w:ascii="仿宋" w:hAnsi="仿宋"/>
                <w:color w:val="auto"/>
                <w:sz w:val="24"/>
                <w:highlight w:val="none"/>
              </w:rPr>
              <w:t>合计</w:t>
            </w:r>
          </w:p>
        </w:tc>
        <w:tc>
          <w:tcPr>
            <w:tcW w:w="996" w:type="dxa"/>
            <w:noWrap w:val="0"/>
            <w:vAlign w:val="center"/>
          </w:tcPr>
          <w:p w14:paraId="34296FC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6" w:type="dxa"/>
            <w:noWrap w:val="0"/>
            <w:vAlign w:val="center"/>
          </w:tcPr>
          <w:p w14:paraId="4688FA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730531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07F9E6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highlight w:val="none"/>
              </w:rPr>
            </w:pPr>
          </w:p>
        </w:tc>
      </w:tr>
    </w:tbl>
    <w:p w14:paraId="33CA0E1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ascii="仿宋" w:hAnsi="仿宋"/>
          <w:color w:val="auto"/>
          <w:sz w:val="28"/>
          <w:szCs w:val="22"/>
          <w:highlight w:val="none"/>
        </w:rPr>
        <w:t>3.</w:t>
      </w:r>
      <w:r>
        <w:rPr>
          <w:rFonts w:hint="eastAsia" w:ascii="仿宋" w:hAnsi="仿宋"/>
          <w:color w:val="auto"/>
          <w:sz w:val="28"/>
          <w:szCs w:val="22"/>
          <w:highlight w:val="none"/>
        </w:rPr>
        <w:t>合同总金额及付款方式</w:t>
      </w:r>
    </w:p>
    <w:p w14:paraId="7C5EC99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3.1合同总金额</w:t>
      </w:r>
    </w:p>
    <w:p w14:paraId="746408A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本合同总金额为人民币______元</w:t>
      </w:r>
      <w:r>
        <w:rPr>
          <w:rFonts w:hint="eastAsia" w:ascii="仿宋" w:hAnsi="仿宋"/>
          <w:color w:val="auto"/>
          <w:sz w:val="28"/>
          <w:szCs w:val="22"/>
          <w:highlight w:val="none"/>
          <w:lang w:eastAsia="zh-CN"/>
        </w:rPr>
        <w:t>（</w:t>
      </w:r>
      <w:r>
        <w:rPr>
          <w:rFonts w:hint="eastAsia"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。本项目包括但不限于税费、运输、保险、安装、调试、技术支持、质量保障、售后服务、培训和合同中规定乙方应承担的其他义务的费用已由乙方计入本合同总金额中。</w:t>
      </w:r>
    </w:p>
    <w:p w14:paraId="706667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3.2付款方式</w:t>
      </w:r>
    </w:p>
    <w:p w14:paraId="115F3B4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4.</w:t>
      </w:r>
      <w:r>
        <w:rPr>
          <w:rFonts w:hint="eastAsia" w:ascii="仿宋" w:hAnsi="仿宋"/>
          <w:color w:val="auto"/>
          <w:sz w:val="28"/>
          <w:szCs w:val="22"/>
          <w:highlight w:val="none"/>
        </w:rPr>
        <w:t>合同签订地：</w:t>
      </w:r>
      <w:r>
        <w:rPr>
          <w:rFonts w:ascii="仿宋" w:hAnsi="仿宋"/>
          <w:color w:val="auto"/>
          <w:sz w:val="28"/>
          <w:szCs w:val="22"/>
          <w:highlight w:val="none"/>
        </w:rPr>
        <w:t>______</w:t>
      </w:r>
    </w:p>
    <w:p w14:paraId="1E8B541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5.</w:t>
      </w:r>
      <w:r>
        <w:rPr>
          <w:rFonts w:hint="eastAsia" w:ascii="仿宋" w:hAnsi="仿宋"/>
          <w:color w:val="auto"/>
          <w:sz w:val="28"/>
          <w:szCs w:val="22"/>
          <w:highlight w:val="none"/>
        </w:rPr>
        <w:t>合同生效</w:t>
      </w:r>
    </w:p>
    <w:p w14:paraId="0DA7CD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本合同一式柒份，甲方执伍份、乙方执壹份、采购代理机构（见证方）执壹份。在甲、乙方签字盖章后生效。</w:t>
      </w:r>
    </w:p>
    <w:p w14:paraId="3A9E81DF">
      <w:pPr>
        <w:spacing w:line="336" w:lineRule="auto"/>
        <w:rPr>
          <w:rFonts w:hint="eastAsia" w:ascii="仿宋" w:hAnsi="仿宋"/>
          <w:color w:val="auto"/>
          <w:highlight w:val="none"/>
        </w:rPr>
      </w:pPr>
      <w:r>
        <w:rPr>
          <w:rFonts w:ascii="仿宋" w:hAnsi="仿宋"/>
          <w:color w:val="auto"/>
          <w:highlight w:val="none"/>
        </w:rPr>
        <w:br w:type="page"/>
      </w:r>
    </w:p>
    <w:tbl>
      <w:tblPr>
        <w:tblStyle w:val="13"/>
        <w:tblW w:w="0" w:type="auto"/>
        <w:tblInd w:w="93" w:type="dxa"/>
        <w:tblLayout w:type="fixed"/>
        <w:tblCellMar>
          <w:top w:w="0" w:type="dxa"/>
          <w:left w:w="108" w:type="dxa"/>
          <w:bottom w:w="0" w:type="dxa"/>
          <w:right w:w="108" w:type="dxa"/>
        </w:tblCellMar>
      </w:tblPr>
      <w:tblGrid>
        <w:gridCol w:w="4551"/>
        <w:gridCol w:w="4253"/>
      </w:tblGrid>
      <w:tr w14:paraId="4BBDAF1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02DFD6B">
            <w:pPr>
              <w:rPr>
                <w:rFonts w:ascii="仿宋" w:hAnsi="仿宋" w:cs="宋体"/>
                <w:color w:val="auto"/>
                <w:kern w:val="0"/>
                <w:sz w:val="24"/>
                <w:highlight w:val="none"/>
              </w:rPr>
            </w:pPr>
            <w:r>
              <w:rPr>
                <w:rFonts w:hint="eastAsia" w:ascii="仿宋" w:hAnsi="仿宋"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51F8B81E">
            <w:pPr>
              <w:rPr>
                <w:rFonts w:ascii="仿宋" w:hAnsi="仿宋" w:cs="宋体"/>
                <w:color w:val="auto"/>
                <w:kern w:val="0"/>
                <w:sz w:val="24"/>
                <w:highlight w:val="none"/>
              </w:rPr>
            </w:pPr>
            <w:r>
              <w:rPr>
                <w:rFonts w:hint="eastAsia" w:ascii="仿宋" w:hAnsi="仿宋" w:cs="宋体"/>
                <w:color w:val="auto"/>
                <w:kern w:val="0"/>
                <w:sz w:val="24"/>
                <w:highlight w:val="none"/>
              </w:rPr>
              <w:t>乙  方</w:t>
            </w:r>
          </w:p>
        </w:tc>
      </w:tr>
      <w:tr w14:paraId="7D0BD59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75C9059">
            <w:pPr>
              <w:rPr>
                <w:rFonts w:ascii="仿宋" w:hAnsi="仿宋" w:cs="宋体"/>
                <w:color w:val="auto"/>
                <w:kern w:val="0"/>
                <w:sz w:val="24"/>
                <w:highlight w:val="none"/>
              </w:rPr>
            </w:pPr>
            <w:r>
              <w:rPr>
                <w:rFonts w:hint="eastAsia" w:ascii="仿宋" w:hAnsi="仿宋" w:cs="宋体"/>
                <w:color w:val="auto"/>
                <w:kern w:val="0"/>
                <w:sz w:val="24"/>
                <w:highlight w:val="none"/>
              </w:rPr>
              <w:t>（盖章）</w:t>
            </w:r>
          </w:p>
        </w:tc>
        <w:tc>
          <w:tcPr>
            <w:tcW w:w="4253" w:type="dxa"/>
            <w:tcBorders>
              <w:top w:val="nil"/>
              <w:left w:val="nil"/>
              <w:bottom w:val="nil"/>
              <w:right w:val="single" w:color="auto" w:sz="8" w:space="0"/>
            </w:tcBorders>
            <w:noWrap w:val="0"/>
            <w:vAlign w:val="center"/>
          </w:tcPr>
          <w:p w14:paraId="2BD29B74">
            <w:pPr>
              <w:rPr>
                <w:rFonts w:ascii="仿宋" w:hAnsi="仿宋" w:cs="宋体"/>
                <w:color w:val="auto"/>
                <w:kern w:val="0"/>
                <w:sz w:val="24"/>
                <w:highlight w:val="none"/>
              </w:rPr>
            </w:pPr>
            <w:r>
              <w:rPr>
                <w:rFonts w:hint="eastAsia" w:ascii="仿宋" w:hAnsi="仿宋" w:cs="宋体"/>
                <w:color w:val="auto"/>
                <w:kern w:val="0"/>
                <w:sz w:val="24"/>
                <w:highlight w:val="none"/>
              </w:rPr>
              <w:t>（盖章）</w:t>
            </w:r>
          </w:p>
        </w:tc>
      </w:tr>
      <w:tr w14:paraId="6B5C08E6">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AEA532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61F60A1C">
            <w:pPr>
              <w:rPr>
                <w:rFonts w:ascii="仿宋" w:hAnsi="仿宋" w:cs="宋体"/>
                <w:color w:val="auto"/>
                <w:kern w:val="0"/>
                <w:sz w:val="24"/>
                <w:highlight w:val="none"/>
              </w:rPr>
            </w:pPr>
          </w:p>
        </w:tc>
      </w:tr>
      <w:tr w14:paraId="51D90A0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1EA024">
            <w:pPr>
              <w:rPr>
                <w:rFonts w:ascii="仿宋" w:hAnsi="仿宋" w:cs="宋体"/>
                <w:color w:val="auto"/>
                <w:kern w:val="0"/>
                <w:sz w:val="24"/>
                <w:highlight w:val="none"/>
              </w:rPr>
            </w:pPr>
            <w:r>
              <w:rPr>
                <w:rFonts w:hint="eastAsia" w:ascii="仿宋" w:hAnsi="仿宋" w:cs="宋体"/>
                <w:color w:val="auto"/>
                <w:kern w:val="0"/>
                <w:sz w:val="24"/>
                <w:highlight w:val="none"/>
              </w:rPr>
              <w:t>地址：</w:t>
            </w:r>
          </w:p>
        </w:tc>
        <w:tc>
          <w:tcPr>
            <w:tcW w:w="4253" w:type="dxa"/>
            <w:tcBorders>
              <w:top w:val="nil"/>
              <w:left w:val="nil"/>
              <w:bottom w:val="single" w:color="auto" w:sz="8" w:space="0"/>
              <w:right w:val="single" w:color="auto" w:sz="8" w:space="0"/>
            </w:tcBorders>
            <w:noWrap w:val="0"/>
            <w:vAlign w:val="center"/>
          </w:tcPr>
          <w:p w14:paraId="62750AFC">
            <w:pPr>
              <w:rPr>
                <w:rFonts w:ascii="仿宋" w:hAnsi="仿宋" w:cs="宋体"/>
                <w:color w:val="auto"/>
                <w:kern w:val="0"/>
                <w:sz w:val="24"/>
                <w:highlight w:val="none"/>
              </w:rPr>
            </w:pPr>
            <w:r>
              <w:rPr>
                <w:rFonts w:hint="eastAsia" w:ascii="仿宋" w:hAnsi="仿宋" w:cs="宋体"/>
                <w:color w:val="auto"/>
                <w:kern w:val="0"/>
                <w:sz w:val="24"/>
                <w:highlight w:val="none"/>
              </w:rPr>
              <w:t>地址：</w:t>
            </w:r>
          </w:p>
        </w:tc>
      </w:tr>
      <w:tr w14:paraId="256FB34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8C9083">
            <w:pPr>
              <w:rPr>
                <w:rFonts w:ascii="仿宋" w:hAnsi="仿宋" w:cs="宋体"/>
                <w:color w:val="auto"/>
                <w:kern w:val="0"/>
                <w:sz w:val="24"/>
                <w:highlight w:val="none"/>
              </w:rPr>
            </w:pPr>
            <w:r>
              <w:rPr>
                <w:rFonts w:hint="eastAsia" w:ascii="仿宋" w:hAnsi="仿宋" w:cs="宋体"/>
                <w:color w:val="auto"/>
                <w:kern w:val="0"/>
                <w:sz w:val="24"/>
                <w:highlight w:val="none"/>
              </w:rPr>
              <w:t>邮编：</w:t>
            </w:r>
          </w:p>
        </w:tc>
        <w:tc>
          <w:tcPr>
            <w:tcW w:w="4253" w:type="dxa"/>
            <w:tcBorders>
              <w:top w:val="nil"/>
              <w:left w:val="nil"/>
              <w:bottom w:val="single" w:color="auto" w:sz="8" w:space="0"/>
              <w:right w:val="single" w:color="auto" w:sz="8" w:space="0"/>
            </w:tcBorders>
            <w:noWrap w:val="0"/>
            <w:vAlign w:val="center"/>
          </w:tcPr>
          <w:p w14:paraId="6CC5C795">
            <w:pPr>
              <w:rPr>
                <w:rFonts w:ascii="仿宋" w:hAnsi="仿宋" w:cs="宋体"/>
                <w:color w:val="auto"/>
                <w:kern w:val="0"/>
                <w:sz w:val="24"/>
                <w:highlight w:val="none"/>
              </w:rPr>
            </w:pPr>
            <w:r>
              <w:rPr>
                <w:rFonts w:hint="eastAsia" w:ascii="仿宋" w:hAnsi="仿宋" w:cs="宋体"/>
                <w:color w:val="auto"/>
                <w:kern w:val="0"/>
                <w:sz w:val="24"/>
                <w:highlight w:val="none"/>
              </w:rPr>
              <w:t>邮编：</w:t>
            </w:r>
          </w:p>
        </w:tc>
      </w:tr>
      <w:tr w14:paraId="2AEA00BF">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8035DE6">
            <w:pPr>
              <w:rPr>
                <w:rFonts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4AE065DB">
            <w:pPr>
              <w:rPr>
                <w:rFonts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1679AD1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BFEE783">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2B8D172D">
            <w:pPr>
              <w:rPr>
                <w:rFonts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0FFC6BD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D314DE0">
            <w:pPr>
              <w:rPr>
                <w:rFonts w:ascii="仿宋" w:hAnsi="仿宋" w:cs="宋体"/>
                <w:color w:val="auto"/>
                <w:kern w:val="0"/>
                <w:sz w:val="24"/>
                <w:highlight w:val="none"/>
              </w:rPr>
            </w:pPr>
            <w:r>
              <w:rPr>
                <w:rFonts w:hint="eastAsia" w:ascii="仿宋" w:hAnsi="仿宋" w:cs="宋体"/>
                <w:color w:val="auto"/>
                <w:kern w:val="0"/>
                <w:sz w:val="24"/>
                <w:highlight w:val="none"/>
              </w:rPr>
              <w:t>电话：</w:t>
            </w:r>
          </w:p>
        </w:tc>
        <w:tc>
          <w:tcPr>
            <w:tcW w:w="4253" w:type="dxa"/>
            <w:tcBorders>
              <w:top w:val="nil"/>
              <w:left w:val="nil"/>
              <w:bottom w:val="single" w:color="auto" w:sz="8" w:space="0"/>
              <w:right w:val="single" w:color="auto" w:sz="8" w:space="0"/>
            </w:tcBorders>
            <w:noWrap w:val="0"/>
            <w:vAlign w:val="center"/>
          </w:tcPr>
          <w:p w14:paraId="4642F5D4">
            <w:pPr>
              <w:rPr>
                <w:rFonts w:ascii="仿宋" w:hAnsi="仿宋" w:cs="宋体"/>
                <w:color w:val="auto"/>
                <w:kern w:val="0"/>
                <w:sz w:val="24"/>
                <w:highlight w:val="none"/>
              </w:rPr>
            </w:pPr>
            <w:r>
              <w:rPr>
                <w:rFonts w:hint="eastAsia" w:ascii="仿宋" w:hAnsi="仿宋" w:cs="宋体"/>
                <w:color w:val="auto"/>
                <w:kern w:val="0"/>
                <w:sz w:val="24"/>
                <w:highlight w:val="none"/>
              </w:rPr>
              <w:t>电话：</w:t>
            </w:r>
          </w:p>
        </w:tc>
      </w:tr>
      <w:tr w14:paraId="0EAF6E64">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68974CC">
            <w:pPr>
              <w:rPr>
                <w:rFonts w:ascii="仿宋" w:hAnsi="仿宋" w:cs="宋体"/>
                <w:color w:val="auto"/>
                <w:kern w:val="0"/>
                <w:sz w:val="24"/>
                <w:highlight w:val="none"/>
              </w:rPr>
            </w:pPr>
            <w:r>
              <w:rPr>
                <w:rFonts w:hint="eastAsia" w:ascii="仿宋" w:hAnsi="仿宋" w:cs="宋体"/>
                <w:color w:val="auto"/>
                <w:kern w:val="0"/>
                <w:sz w:val="24"/>
                <w:highlight w:val="none"/>
              </w:rPr>
              <w:t>传真：</w:t>
            </w:r>
          </w:p>
        </w:tc>
        <w:tc>
          <w:tcPr>
            <w:tcW w:w="4253" w:type="dxa"/>
            <w:tcBorders>
              <w:top w:val="nil"/>
              <w:left w:val="nil"/>
              <w:bottom w:val="single" w:color="auto" w:sz="8" w:space="0"/>
              <w:right w:val="single" w:color="auto" w:sz="8" w:space="0"/>
            </w:tcBorders>
            <w:noWrap w:val="0"/>
            <w:vAlign w:val="center"/>
          </w:tcPr>
          <w:p w14:paraId="7A67C1DE">
            <w:pPr>
              <w:rPr>
                <w:rFonts w:ascii="仿宋" w:hAnsi="仿宋" w:cs="宋体"/>
                <w:color w:val="auto"/>
                <w:kern w:val="0"/>
                <w:sz w:val="24"/>
                <w:highlight w:val="none"/>
              </w:rPr>
            </w:pPr>
            <w:r>
              <w:rPr>
                <w:rFonts w:hint="eastAsia" w:ascii="仿宋" w:hAnsi="仿宋" w:cs="宋体"/>
                <w:color w:val="auto"/>
                <w:kern w:val="0"/>
                <w:sz w:val="24"/>
                <w:highlight w:val="none"/>
              </w:rPr>
              <w:t>传真：</w:t>
            </w:r>
          </w:p>
        </w:tc>
      </w:tr>
      <w:tr w14:paraId="2ADA8D0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3DCC9B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7F48F031">
            <w:pPr>
              <w:rPr>
                <w:rFonts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1C2AFC2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6F315C9">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3F34E060">
            <w:pPr>
              <w:rPr>
                <w:rFonts w:ascii="仿宋" w:hAnsi="仿宋" w:cs="宋体"/>
                <w:color w:val="auto"/>
                <w:kern w:val="0"/>
                <w:sz w:val="24"/>
                <w:highlight w:val="none"/>
              </w:rPr>
            </w:pPr>
            <w:r>
              <w:rPr>
                <w:rFonts w:hint="eastAsia" w:ascii="仿宋" w:hAnsi="仿宋" w:cs="宋体"/>
                <w:color w:val="auto"/>
                <w:kern w:val="0"/>
                <w:sz w:val="24"/>
                <w:highlight w:val="none"/>
              </w:rPr>
              <w:t>账号</w:t>
            </w:r>
            <w:r>
              <w:rPr>
                <w:rFonts w:hint="eastAsia" w:ascii="仿宋" w:hAnsi="仿宋" w:cs="宋体"/>
                <w:color w:val="auto"/>
                <w:kern w:val="0"/>
                <w:sz w:val="24"/>
                <w:highlight w:val="none"/>
                <w:lang w:eastAsia="zh-CN"/>
              </w:rPr>
              <w:t>：</w:t>
            </w:r>
          </w:p>
        </w:tc>
      </w:tr>
      <w:tr w14:paraId="6B43483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DA0833E">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7B8A981B">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r>
    </w:tbl>
    <w:p w14:paraId="2D549069">
      <w:pPr>
        <w:rPr>
          <w:rFonts w:hint="eastAsia"/>
          <w:color w:val="auto"/>
          <w:sz w:val="28"/>
          <w:szCs w:val="22"/>
          <w:highlight w:val="none"/>
        </w:rPr>
      </w:pPr>
      <w:r>
        <w:rPr>
          <w:rFonts w:hint="eastAsia"/>
          <w:color w:val="auto"/>
          <w:sz w:val="28"/>
          <w:szCs w:val="22"/>
          <w:highlight w:val="none"/>
        </w:rPr>
        <w:br w:type="page"/>
      </w:r>
    </w:p>
    <w:p w14:paraId="343428B1">
      <w:pPr>
        <w:rPr>
          <w:color w:val="auto"/>
          <w:sz w:val="28"/>
          <w:szCs w:val="22"/>
          <w:highlight w:val="none"/>
        </w:rPr>
      </w:pPr>
      <w:r>
        <w:rPr>
          <w:rFonts w:hint="eastAsia"/>
          <w:color w:val="auto"/>
          <w:sz w:val="28"/>
          <w:szCs w:val="22"/>
          <w:highlight w:val="none"/>
        </w:rPr>
        <w:t>一、合同条款</w:t>
      </w:r>
    </w:p>
    <w:p w14:paraId="41B021A9">
      <w:pPr>
        <w:jc w:val="center"/>
        <w:rPr>
          <w:rFonts w:cs="MingLiU_HKSCS"/>
          <w:color w:val="auto"/>
          <w:sz w:val="28"/>
          <w:szCs w:val="22"/>
          <w:highlight w:val="none"/>
        </w:rPr>
      </w:pPr>
      <w:r>
        <w:rPr>
          <w:rFonts w:hint="eastAsia"/>
          <w:color w:val="auto"/>
          <w:sz w:val="28"/>
          <w:szCs w:val="22"/>
          <w:highlight w:val="none"/>
        </w:rPr>
        <w:t>合同条款前附表</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666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83AB0D7">
            <w:pPr>
              <w:pStyle w:val="8"/>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63F4F865">
            <w:pPr>
              <w:pStyle w:val="8"/>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7C37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83E7A31">
            <w:pPr>
              <w:pStyle w:val="8"/>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4C909DC5">
            <w:pPr>
              <w:pStyle w:val="8"/>
              <w:jc w:val="left"/>
              <w:rPr>
                <w:rFonts w:ascii="仿宋" w:hAnsi="仿宋"/>
                <w:color w:val="auto"/>
                <w:sz w:val="24"/>
                <w:szCs w:val="24"/>
                <w:highlight w:val="none"/>
              </w:rPr>
            </w:pPr>
            <w:r>
              <w:rPr>
                <w:rFonts w:hint="eastAsia" w:ascii="仿宋" w:hAnsi="仿宋"/>
                <w:color w:val="auto"/>
                <w:sz w:val="24"/>
                <w:szCs w:val="24"/>
                <w:highlight w:val="none"/>
              </w:rPr>
              <w:t>合同名称：</w:t>
            </w:r>
          </w:p>
          <w:p w14:paraId="0C02CDCC">
            <w:pPr>
              <w:pStyle w:val="8"/>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7133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136CFE5">
            <w:pPr>
              <w:pStyle w:val="8"/>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2BE9B856">
            <w:pPr>
              <w:pStyle w:val="8"/>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2606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7CB1C81">
            <w:pPr>
              <w:pStyle w:val="8"/>
              <w:jc w:val="center"/>
              <w:rPr>
                <w:rFonts w:ascii="仿宋" w:hAnsi="仿宋"/>
                <w:color w:val="auto"/>
                <w:sz w:val="24"/>
                <w:szCs w:val="24"/>
                <w:highlight w:val="none"/>
              </w:rPr>
            </w:pPr>
          </w:p>
        </w:tc>
        <w:tc>
          <w:tcPr>
            <w:tcW w:w="8558" w:type="dxa"/>
            <w:noWrap w:val="0"/>
            <w:vAlign w:val="center"/>
          </w:tcPr>
          <w:p w14:paraId="1BC2FB5E">
            <w:pPr>
              <w:pStyle w:val="8"/>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0C3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BEA889D">
            <w:pPr>
              <w:pStyle w:val="8"/>
              <w:jc w:val="center"/>
              <w:rPr>
                <w:rFonts w:ascii="仿宋" w:hAnsi="仿宋"/>
                <w:color w:val="auto"/>
                <w:sz w:val="24"/>
                <w:szCs w:val="24"/>
                <w:highlight w:val="none"/>
              </w:rPr>
            </w:pPr>
          </w:p>
        </w:tc>
        <w:tc>
          <w:tcPr>
            <w:tcW w:w="8558" w:type="dxa"/>
            <w:noWrap w:val="0"/>
            <w:vAlign w:val="center"/>
          </w:tcPr>
          <w:p w14:paraId="77D44506">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43E3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2776332">
            <w:pPr>
              <w:pStyle w:val="8"/>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414AB731">
            <w:pPr>
              <w:pStyle w:val="8"/>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57DA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2046619">
            <w:pPr>
              <w:pStyle w:val="8"/>
              <w:jc w:val="center"/>
              <w:rPr>
                <w:rFonts w:ascii="仿宋" w:hAnsi="仿宋"/>
                <w:color w:val="auto"/>
                <w:sz w:val="24"/>
                <w:szCs w:val="24"/>
                <w:highlight w:val="none"/>
              </w:rPr>
            </w:pPr>
          </w:p>
        </w:tc>
        <w:tc>
          <w:tcPr>
            <w:tcW w:w="8558" w:type="dxa"/>
            <w:noWrap w:val="0"/>
            <w:vAlign w:val="center"/>
          </w:tcPr>
          <w:p w14:paraId="503CC806">
            <w:pPr>
              <w:pStyle w:val="8"/>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5571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0ED47B7">
            <w:pPr>
              <w:pStyle w:val="8"/>
              <w:jc w:val="center"/>
              <w:rPr>
                <w:rFonts w:ascii="仿宋" w:hAnsi="仿宋"/>
                <w:color w:val="auto"/>
                <w:sz w:val="24"/>
                <w:szCs w:val="24"/>
                <w:highlight w:val="none"/>
              </w:rPr>
            </w:pPr>
          </w:p>
        </w:tc>
        <w:tc>
          <w:tcPr>
            <w:tcW w:w="8558" w:type="dxa"/>
            <w:noWrap w:val="0"/>
            <w:vAlign w:val="center"/>
          </w:tcPr>
          <w:p w14:paraId="6A30FE7D">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409D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C44578E">
            <w:pPr>
              <w:pStyle w:val="8"/>
              <w:jc w:val="center"/>
              <w:rPr>
                <w:rFonts w:ascii="仿宋" w:hAnsi="仿宋"/>
                <w:color w:val="auto"/>
                <w:sz w:val="24"/>
                <w:szCs w:val="24"/>
                <w:highlight w:val="none"/>
              </w:rPr>
            </w:pPr>
          </w:p>
        </w:tc>
        <w:tc>
          <w:tcPr>
            <w:tcW w:w="8558" w:type="dxa"/>
            <w:noWrap w:val="0"/>
            <w:vAlign w:val="center"/>
          </w:tcPr>
          <w:p w14:paraId="53903C10">
            <w:pPr>
              <w:pStyle w:val="8"/>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455B42FA">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4A41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28A021">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4</w:t>
            </w:r>
          </w:p>
        </w:tc>
        <w:tc>
          <w:tcPr>
            <w:tcW w:w="8558" w:type="dxa"/>
            <w:noWrap w:val="0"/>
            <w:vAlign w:val="center"/>
          </w:tcPr>
          <w:p w14:paraId="7D7A3824">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443F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376E73C">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5</w:t>
            </w:r>
          </w:p>
        </w:tc>
        <w:tc>
          <w:tcPr>
            <w:tcW w:w="8558" w:type="dxa"/>
            <w:noWrap w:val="0"/>
            <w:vAlign w:val="center"/>
          </w:tcPr>
          <w:p w14:paraId="2F90461B">
            <w:pPr>
              <w:pStyle w:val="8"/>
              <w:jc w:val="left"/>
              <w:rPr>
                <w:rFonts w:hint="eastAsia" w:ascii="仿宋" w:hAnsi="仿宋"/>
                <w:color w:val="auto"/>
                <w:sz w:val="24"/>
                <w:szCs w:val="24"/>
                <w:highlight w:val="none"/>
              </w:rPr>
            </w:pPr>
            <w:r>
              <w:rPr>
                <w:rFonts w:hint="eastAsia" w:ascii="仿宋" w:hAnsi="仿宋"/>
                <w:color w:val="auto"/>
                <w:sz w:val="24"/>
                <w:szCs w:val="24"/>
                <w:highlight w:val="none"/>
              </w:rPr>
              <w:t>包装要求：落实《关于印发〈商品包装政府采购需求标准（试行）〉〈快递包装政府采购需求标准（试行）〉》（财办库〔2020〕123号）</w:t>
            </w:r>
          </w:p>
        </w:tc>
      </w:tr>
      <w:tr w14:paraId="5E25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6950F72">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6</w:t>
            </w:r>
          </w:p>
        </w:tc>
        <w:tc>
          <w:tcPr>
            <w:tcW w:w="8558" w:type="dxa"/>
            <w:noWrap w:val="0"/>
            <w:vAlign w:val="center"/>
          </w:tcPr>
          <w:p w14:paraId="7CAA375F">
            <w:pPr>
              <w:pStyle w:val="8"/>
              <w:jc w:val="left"/>
              <w:rPr>
                <w:rFonts w:ascii="仿宋" w:hAnsi="仿宋"/>
                <w:color w:val="auto"/>
                <w:sz w:val="24"/>
                <w:szCs w:val="24"/>
                <w:highlight w:val="none"/>
              </w:rPr>
            </w:pPr>
            <w:r>
              <w:rPr>
                <w:rFonts w:hint="eastAsia" w:ascii="仿宋" w:hAnsi="仿宋"/>
                <w:color w:val="auto"/>
                <w:sz w:val="24"/>
                <w:szCs w:val="24"/>
                <w:highlight w:val="none"/>
              </w:rPr>
              <w:t>交货时间及地点：</w:t>
            </w:r>
          </w:p>
        </w:tc>
      </w:tr>
      <w:tr w14:paraId="4759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594702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7</w:t>
            </w:r>
          </w:p>
        </w:tc>
        <w:tc>
          <w:tcPr>
            <w:tcW w:w="8558" w:type="dxa"/>
            <w:noWrap w:val="0"/>
            <w:vAlign w:val="center"/>
          </w:tcPr>
          <w:p w14:paraId="71C1A9CD">
            <w:pPr>
              <w:pStyle w:val="8"/>
              <w:jc w:val="left"/>
              <w:rPr>
                <w:rFonts w:ascii="仿宋" w:hAnsi="仿宋"/>
                <w:color w:val="auto"/>
                <w:sz w:val="24"/>
                <w:szCs w:val="24"/>
                <w:highlight w:val="none"/>
              </w:rPr>
            </w:pPr>
            <w:r>
              <w:rPr>
                <w:rFonts w:hint="eastAsia" w:ascii="仿宋" w:hAnsi="仿宋"/>
                <w:color w:val="auto"/>
                <w:sz w:val="24"/>
                <w:szCs w:val="24"/>
                <w:highlight w:val="none"/>
              </w:rPr>
              <w:t>质量保证期：</w:t>
            </w:r>
          </w:p>
        </w:tc>
      </w:tr>
      <w:tr w14:paraId="51F3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0F0DC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8</w:t>
            </w:r>
          </w:p>
        </w:tc>
        <w:tc>
          <w:tcPr>
            <w:tcW w:w="8558" w:type="dxa"/>
            <w:noWrap w:val="0"/>
            <w:vAlign w:val="center"/>
          </w:tcPr>
          <w:p w14:paraId="2F7BE83E">
            <w:pPr>
              <w:pStyle w:val="8"/>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5EC6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13A945">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9</w:t>
            </w:r>
          </w:p>
        </w:tc>
        <w:tc>
          <w:tcPr>
            <w:tcW w:w="8558" w:type="dxa"/>
            <w:noWrap w:val="0"/>
            <w:vAlign w:val="center"/>
          </w:tcPr>
          <w:p w14:paraId="5078EA03">
            <w:pPr>
              <w:pStyle w:val="8"/>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4FA2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69845B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10</w:t>
            </w:r>
          </w:p>
        </w:tc>
        <w:tc>
          <w:tcPr>
            <w:tcW w:w="8558" w:type="dxa"/>
            <w:noWrap w:val="0"/>
            <w:vAlign w:val="center"/>
          </w:tcPr>
          <w:p w14:paraId="77858821">
            <w:pPr>
              <w:pStyle w:val="8"/>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7C43B7F5">
            <w:pPr>
              <w:pStyle w:val="8"/>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53BF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28FFE4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11</w:t>
            </w:r>
          </w:p>
        </w:tc>
        <w:tc>
          <w:tcPr>
            <w:tcW w:w="8558" w:type="dxa"/>
            <w:noWrap w:val="0"/>
            <w:vAlign w:val="center"/>
          </w:tcPr>
          <w:p w14:paraId="461AE3A1">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误期赔偿费约定：如果乙方没有按照合同规定的时间交货和提供服务，甲方有权从货款中扣除误期赔偿费而不影响合同项下的其他补救方法。赔偿费按每日加收合同金额的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计收，直至交货或提供服务为止。但误期赔偿费的最高限额不超过合同价的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tc>
      </w:tr>
      <w:tr w14:paraId="6B70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173BBE">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12</w:t>
            </w:r>
          </w:p>
        </w:tc>
        <w:tc>
          <w:tcPr>
            <w:tcW w:w="8558" w:type="dxa"/>
            <w:noWrap w:val="0"/>
            <w:vAlign w:val="center"/>
          </w:tcPr>
          <w:p w14:paraId="15B713C9">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299B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1AF04BC">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13</w:t>
            </w:r>
          </w:p>
        </w:tc>
        <w:tc>
          <w:tcPr>
            <w:tcW w:w="8558" w:type="dxa"/>
            <w:noWrap w:val="0"/>
            <w:vAlign w:val="center"/>
          </w:tcPr>
          <w:p w14:paraId="5EC84B80">
            <w:pPr>
              <w:pStyle w:val="8"/>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5A2AABEA">
            <w:pPr>
              <w:pStyle w:val="8"/>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hint="eastAsia" w:ascii="仿宋" w:hAnsi="仿宋"/>
                <w:color w:val="auto"/>
                <w:sz w:val="24"/>
                <w:szCs w:val="24"/>
                <w:highlight w:val="none"/>
                <w:lang w:eastAsia="zh-CN"/>
              </w:rPr>
              <w:t>（</w:t>
            </w:r>
            <w:r>
              <w:rPr>
                <w:rFonts w:hint="eastAsia" w:ascii="仿宋" w:hAnsi="仿宋"/>
                <w:color w:val="auto"/>
                <w:sz w:val="24"/>
                <w:szCs w:val="24"/>
                <w:highlight w:val="none"/>
              </w:rPr>
              <w:t>请在方框内画“√”选择</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p w14:paraId="10F14E49">
            <w:pPr>
              <w:pStyle w:val="8"/>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仲裁地</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w:t>
            </w:r>
          </w:p>
          <w:p w14:paraId="1BFBE77B">
            <w:pPr>
              <w:pStyle w:val="8"/>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2327A82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5214E6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694C15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683959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3B51467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102DBAD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hint="eastAsia" w:ascii="仿宋" w:hAnsi="仿宋"/>
          <w:color w:val="auto"/>
          <w:sz w:val="28"/>
          <w:szCs w:val="28"/>
          <w:highlight w:val="none"/>
        </w:rPr>
        <w:t>　“货物”是指根据本合同规定，乙方按照招标</w:t>
      </w:r>
      <w:r>
        <w:rPr>
          <w:rFonts w:hint="eastAsia" w:ascii="仿宋" w:hAnsi="仿宋"/>
          <w:color w:val="auto"/>
          <w:sz w:val="28"/>
          <w:szCs w:val="28"/>
          <w:highlight w:val="none"/>
          <w:lang w:eastAsia="zh-CN"/>
        </w:rPr>
        <w:t>（</w:t>
      </w:r>
      <w:r>
        <w:rPr>
          <w:rFonts w:hint="eastAsia" w:ascii="仿宋" w:hAnsi="仿宋"/>
          <w:color w:val="auto"/>
          <w:sz w:val="28"/>
          <w:szCs w:val="28"/>
          <w:highlight w:val="none"/>
        </w:rPr>
        <w:t>采购</w:t>
      </w:r>
      <w:r>
        <w:rPr>
          <w:rFonts w:hint="eastAsia" w:ascii="仿宋" w:hAnsi="仿宋"/>
          <w:color w:val="auto"/>
          <w:sz w:val="28"/>
          <w:szCs w:val="28"/>
          <w:highlight w:val="none"/>
          <w:lang w:eastAsia="zh-CN"/>
        </w:rPr>
        <w:t>）</w:t>
      </w:r>
      <w:r>
        <w:rPr>
          <w:rFonts w:hint="eastAsia" w:ascii="仿宋" w:hAnsi="仿宋"/>
          <w:color w:val="auto"/>
          <w:sz w:val="28"/>
          <w:szCs w:val="28"/>
          <w:highlight w:val="none"/>
        </w:rPr>
        <w:t>、投标文件，向甲方提供符合要求的全部产品，包括一切设备、机械、仪器仪表、备品备件、工具及与信息处理和交流有关的硬件、软件以及所有有关的文件等。</w:t>
      </w:r>
    </w:p>
    <w:p w14:paraId="01FDF26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hint="eastAsia" w:ascii="仿宋" w:hAnsi="仿宋"/>
          <w:color w:val="auto"/>
          <w:sz w:val="28"/>
          <w:szCs w:val="28"/>
          <w:highlight w:val="none"/>
        </w:rPr>
        <w:t>　“服务”是指根据本合同规定，乙方承担与货物有关的相关服务，包括但不限于运输、保险、安装、调试、技术支持、质量保障、售后服务、培训和合同中规定乙方应承担的其他义务。</w:t>
      </w:r>
    </w:p>
    <w:p w14:paraId="71AE39E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hint="eastAsia" w:ascii="仿宋" w:hAnsi="仿宋"/>
          <w:color w:val="auto"/>
          <w:sz w:val="28"/>
          <w:szCs w:val="28"/>
          <w:highlight w:val="none"/>
        </w:rPr>
        <w:t>　除非特别指出，“天”均为自然天。</w:t>
      </w:r>
    </w:p>
    <w:p w14:paraId="41C349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　合同标的标准</w:t>
      </w:r>
    </w:p>
    <w:p w14:paraId="7D521F2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乙方为甲方交付的货物及服务应符合招标文件所述的内容，如果没有提及适用标准，则应符合相应的国家标准。这些标准必须是有关机构发布的最新版本的标准。</w:t>
      </w:r>
    </w:p>
    <w:p w14:paraId="117AE86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53C3DB1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2.3</w:t>
      </w:r>
      <w:r>
        <w:rPr>
          <w:rFonts w:hint="eastAsia" w:ascii="仿宋" w:hAnsi="仿宋"/>
          <w:color w:val="auto"/>
          <w:sz w:val="28"/>
          <w:szCs w:val="28"/>
          <w:highlight w:val="none"/>
        </w:rPr>
        <w:t>　货物还应符合国家有关安全、环保、卫生的相关规定。</w:t>
      </w:r>
    </w:p>
    <w:p w14:paraId="0D1972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　质量保证</w:t>
      </w:r>
    </w:p>
    <w:p w14:paraId="662B7C8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乙方应保证所供货物是全新的、未使用过的，并完全符合或高于合同要求的质量、规格和技术性能的要求。</w:t>
      </w:r>
    </w:p>
    <w:p w14:paraId="3A29CAD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3.2</w:t>
      </w:r>
      <w:r>
        <w:rPr>
          <w:rFonts w:hint="eastAsia" w:ascii="仿宋" w:hAnsi="仿宋"/>
          <w:color w:val="auto"/>
          <w:sz w:val="28"/>
          <w:szCs w:val="28"/>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两者以较长的为准</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的质量保证期内，本保证保持有效。</w:t>
      </w:r>
    </w:p>
    <w:p w14:paraId="54A82D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3.3</w:t>
      </w:r>
      <w:r>
        <w:rPr>
          <w:rFonts w:hint="eastAsia" w:ascii="仿宋" w:hAnsi="仿宋"/>
          <w:color w:val="auto"/>
          <w:sz w:val="28"/>
          <w:szCs w:val="28"/>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456F7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3.4</w:t>
      </w:r>
      <w:r>
        <w:rPr>
          <w:rFonts w:hint="eastAsia" w:ascii="仿宋" w:hAnsi="仿宋"/>
          <w:color w:val="auto"/>
          <w:sz w:val="28"/>
          <w:szCs w:val="28"/>
          <w:highlight w:val="none"/>
        </w:rPr>
        <w:t>在质量保证期内所发现的缺陷，甲方应尽快以书面形式通知乙方。</w:t>
      </w:r>
    </w:p>
    <w:p w14:paraId="081280D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3.5</w:t>
      </w:r>
      <w:r>
        <w:rPr>
          <w:rFonts w:hint="eastAsia" w:ascii="仿宋" w:hAnsi="仿宋"/>
          <w:color w:val="auto"/>
          <w:sz w:val="28"/>
          <w:szCs w:val="28"/>
          <w:highlight w:val="none"/>
        </w:rPr>
        <w:t>　乙方收到通知后应在本合同规定的响应时间内以合理的速度免费维修或更换有缺陷的货物或部件。</w:t>
      </w:r>
    </w:p>
    <w:p w14:paraId="28BAD09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3.6</w:t>
      </w:r>
      <w:r>
        <w:rPr>
          <w:rFonts w:hint="eastAsia" w:ascii="仿宋" w:hAnsi="仿宋"/>
          <w:color w:val="auto"/>
          <w:sz w:val="28"/>
          <w:szCs w:val="28"/>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highlight w:val="none"/>
        </w:rPr>
        <w:t>10.1</w:t>
      </w:r>
      <w:r>
        <w:rPr>
          <w:rFonts w:hint="eastAsia" w:ascii="仿宋" w:hAnsi="仿宋"/>
          <w:color w:val="auto"/>
          <w:sz w:val="28"/>
          <w:szCs w:val="28"/>
          <w:highlight w:val="none"/>
        </w:rPr>
        <w:t>条规定以书面形式向乙方提出补救措施或索赔。</w:t>
      </w:r>
    </w:p>
    <w:p w14:paraId="390CCC5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3.7</w:t>
      </w:r>
      <w:r>
        <w:rPr>
          <w:rFonts w:hint="eastAsia" w:ascii="仿宋" w:hAnsi="仿宋"/>
          <w:color w:val="auto"/>
          <w:sz w:val="28"/>
          <w:szCs w:val="28"/>
          <w:highlight w:val="none"/>
        </w:rPr>
        <w:t>　乙方在约定的时间内未能弥补缺陷，甲方可采取必要的补救措施，但其风险和费用将由乙方承担，甲方根据合同规定对乙方行使的其他权利不受影响。</w:t>
      </w:r>
    </w:p>
    <w:p w14:paraId="3BD6531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3.8</w:t>
      </w:r>
      <w:r>
        <w:rPr>
          <w:rFonts w:hint="eastAsia" w:ascii="仿宋" w:hAnsi="仿宋"/>
          <w:color w:val="auto"/>
          <w:sz w:val="28"/>
          <w:szCs w:val="28"/>
          <w:highlight w:val="none"/>
        </w:rPr>
        <w:t>　本合同的质量保证期见合同条款前附表。</w:t>
      </w:r>
    </w:p>
    <w:p w14:paraId="78D52A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包装要求</w:t>
      </w:r>
    </w:p>
    <w:p w14:paraId="0B340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除合同另有规定外，乙方提供的全部货物均应按标准保护措施进行包装，这类包装应适应于远距离运输、防潮、防震、防锈和防野蛮装卸，以确保货物安全无损运抵指定现场。</w:t>
      </w:r>
    </w:p>
    <w:p w14:paraId="470432D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乙方应承担由于其包装或防护措施不当而引起的货物损坏和丢失的任何损失责任和费用。</w:t>
      </w:r>
    </w:p>
    <w:p w14:paraId="5A057F6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4.3</w:t>
      </w:r>
      <w:r>
        <w:rPr>
          <w:rFonts w:hint="eastAsia" w:ascii="仿宋" w:hAnsi="仿宋"/>
          <w:color w:val="auto"/>
          <w:sz w:val="28"/>
          <w:szCs w:val="28"/>
          <w:highlight w:val="none"/>
        </w:rPr>
        <w:t>　每一个包装箱内应附一份详细装箱单和质量证书。</w:t>
      </w:r>
    </w:p>
    <w:p w14:paraId="3049C23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知识产权</w:t>
      </w:r>
    </w:p>
    <w:p w14:paraId="701DA40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乙方应保证所提供的货物及服务免受第三方提出侵犯其知识产权</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专利权、商标权、版权等</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的起诉。如果甲方在使用乙方货物或货物的任何一部分过程中，第三方提出货物侵犯其专利权、工业设计权、使用权等知识产权，乙方应当修正以避免侵权。</w:t>
      </w:r>
    </w:p>
    <w:p w14:paraId="201118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75776A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有关本项目的所有设计、施工文件的著作权属于甲方。乙方有保护甲方著作权的义务，并对在设计过程中所</w:t>
      </w:r>
      <w:r>
        <w:rPr>
          <w:rFonts w:hint="eastAsia" w:ascii="仿宋" w:hAnsi="仿宋"/>
          <w:color w:val="auto"/>
          <w:sz w:val="28"/>
          <w:szCs w:val="28"/>
          <w:highlight w:val="none"/>
          <w:lang w:eastAsia="zh-CN"/>
        </w:rPr>
        <w:t>接触</w:t>
      </w:r>
      <w:r>
        <w:rPr>
          <w:rFonts w:hint="eastAsia" w:ascii="仿宋" w:hAnsi="仿宋"/>
          <w:color w:val="auto"/>
          <w:sz w:val="28"/>
          <w:szCs w:val="28"/>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397992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权利瑕疵担保</w:t>
      </w:r>
    </w:p>
    <w:p w14:paraId="7332F3C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乙方保证对其出售的货物享有合法的权利。</w:t>
      </w:r>
    </w:p>
    <w:p w14:paraId="33A49F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乙方保证在其出售的货物上不存在任何未曾向甲方透露的担保物权，如抵押权、质押权、留置权等。</w:t>
      </w:r>
    </w:p>
    <w:p w14:paraId="6A0C9BB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如甲方使用该货物构成上述侵权的，则由乙方承担全部责任。</w:t>
      </w:r>
    </w:p>
    <w:p w14:paraId="0BA2A6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保密义务</w:t>
      </w:r>
    </w:p>
    <w:p w14:paraId="44BF2D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7.1</w:t>
      </w:r>
      <w:r>
        <w:rPr>
          <w:rFonts w:hint="eastAsia" w:ascii="仿宋" w:hAnsi="仿宋"/>
          <w:color w:val="auto"/>
          <w:sz w:val="28"/>
          <w:szCs w:val="28"/>
          <w:highlight w:val="none"/>
        </w:rPr>
        <w:t>　甲乙双方在采购和履行合同过程中所获悉的对方属于保密的内容，双方均有保密义务。</w:t>
      </w:r>
    </w:p>
    <w:p w14:paraId="78730A4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交货与验收</w:t>
      </w:r>
    </w:p>
    <w:p w14:paraId="276E13A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交货地点：合同条款前附表指定地点。</w:t>
      </w:r>
    </w:p>
    <w:p w14:paraId="695A94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交货时间：合同条款前附表指定时间。</w:t>
      </w:r>
    </w:p>
    <w:p w14:paraId="4953D6B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.3</w:t>
      </w:r>
      <w:r>
        <w:rPr>
          <w:rFonts w:hint="eastAsia" w:ascii="仿宋" w:hAnsi="仿宋"/>
          <w:color w:val="auto"/>
          <w:sz w:val="28"/>
          <w:szCs w:val="28"/>
          <w:highlight w:val="none"/>
        </w:rPr>
        <w:t>　甲方在收到乙方交付的货物后应当及时组织验收。</w:t>
      </w:r>
    </w:p>
    <w:p w14:paraId="202DBE0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.4</w:t>
      </w:r>
      <w:r>
        <w:rPr>
          <w:rFonts w:hint="eastAsia" w:ascii="仿宋" w:hAnsi="仿宋"/>
          <w:color w:val="auto"/>
          <w:sz w:val="28"/>
          <w:szCs w:val="28"/>
          <w:highlight w:val="none"/>
        </w:rPr>
        <w:t>　货物的包装：符合出厂规范及符合《商品包装政府采购需求标准（试行）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1D272F1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.5</w:t>
      </w:r>
      <w:r>
        <w:rPr>
          <w:rFonts w:hint="eastAsia" w:ascii="仿宋" w:hAnsi="仿宋"/>
          <w:color w:val="auto"/>
          <w:sz w:val="28"/>
          <w:szCs w:val="28"/>
          <w:highlight w:val="none"/>
        </w:rPr>
        <w:t>　在验收过程中发现数量不足或有质量、技术等问题，乙方应按照合同要求采取补足、更换或退货等处理措施，并承担由此发生的一切费用和损失。</w:t>
      </w:r>
    </w:p>
    <w:p w14:paraId="1AFB0E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.6</w:t>
      </w:r>
      <w:r>
        <w:rPr>
          <w:rFonts w:hint="eastAsia" w:ascii="仿宋" w:hAnsi="仿宋"/>
          <w:color w:val="auto"/>
          <w:sz w:val="28"/>
          <w:szCs w:val="28"/>
          <w:highlight w:val="none"/>
        </w:rPr>
        <w:t>　甲方对货物进行检查验收合格后，应当及时履行验收手续。</w:t>
      </w:r>
    </w:p>
    <w:p w14:paraId="6E8FCD9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lang w:eastAsia="zh-CN"/>
        </w:rPr>
      </w:pPr>
      <w:r>
        <w:rPr>
          <w:rFonts w:hint="eastAsia" w:ascii="仿宋" w:hAnsi="仿宋"/>
          <w:color w:val="auto"/>
          <w:sz w:val="28"/>
          <w:szCs w:val="28"/>
          <w:highlight w:val="none"/>
          <w:lang w:val="en-US" w:eastAsia="zh-CN"/>
        </w:rPr>
        <w:t>8</w:t>
      </w:r>
      <w:r>
        <w:rPr>
          <w:rFonts w:ascii="仿宋" w:hAnsi="仿宋"/>
          <w:color w:val="auto"/>
          <w:sz w:val="28"/>
          <w:szCs w:val="28"/>
          <w:highlight w:val="none"/>
        </w:rPr>
        <w:t>.7</w:t>
      </w:r>
      <w:r>
        <w:rPr>
          <w:rFonts w:hint="eastAsia" w:ascii="仿宋" w:hAnsi="仿宋"/>
          <w:color w:val="auto"/>
          <w:sz w:val="28"/>
          <w:szCs w:val="28"/>
          <w:highlight w:val="none"/>
        </w:rPr>
        <w:t>　大型或者复杂的货物采购项目，甲方可以邀请国家认可的质量检测机构参加验收工作，并由其出具验收报告。</w:t>
      </w:r>
    </w:p>
    <w:p w14:paraId="5A1C348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hint="eastAsia" w:ascii="仿宋" w:hAnsi="仿宋"/>
          <w:color w:val="auto"/>
          <w:sz w:val="28"/>
          <w:szCs w:val="28"/>
          <w:highlight w:val="none"/>
        </w:rPr>
        <w:t>.8  在履约验收环节，乙方须按照《商品包装政府采购需求标准（试行）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《快递包装政府采购需求标准（试行）》的环保要求出具检测报告。</w:t>
      </w:r>
    </w:p>
    <w:p w14:paraId="18C038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w:t>
      </w:r>
      <w:r>
        <w:rPr>
          <w:rFonts w:hint="eastAsia" w:ascii="仿宋" w:hAnsi="仿宋"/>
          <w:color w:val="auto"/>
          <w:sz w:val="28"/>
          <w:szCs w:val="28"/>
          <w:highlight w:val="none"/>
        </w:rPr>
        <w:t>违约责任</w:t>
      </w:r>
    </w:p>
    <w:p w14:paraId="1AB77C4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.1</w:t>
      </w:r>
      <w:r>
        <w:rPr>
          <w:rFonts w:hint="eastAsia" w:ascii="仿宋" w:hAnsi="仿宋"/>
          <w:color w:val="auto"/>
          <w:sz w:val="28"/>
          <w:szCs w:val="28"/>
          <w:highlight w:val="none"/>
        </w:rPr>
        <w:t>　质量缺陷的补救措施和索赔</w:t>
      </w:r>
    </w:p>
    <w:p w14:paraId="4A98A1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844EDB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94CA46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②根据货物的质量状况以及甲方所遭受的损失，经过甲乙双方商定降低货物的价格。</w:t>
      </w:r>
    </w:p>
    <w:p w14:paraId="6BA44AE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③乙方应在接到甲方通知后</w:t>
      </w:r>
      <w:r>
        <w:rPr>
          <w:rFonts w:ascii="仿宋" w:hAnsi="仿宋"/>
          <w:color w:val="auto"/>
          <w:sz w:val="28"/>
          <w:szCs w:val="28"/>
          <w:highlight w:val="none"/>
        </w:rPr>
        <w:t>7</w:t>
      </w:r>
      <w:r>
        <w:rPr>
          <w:rFonts w:hint="eastAsia" w:ascii="仿宋" w:hAnsi="仿宋"/>
          <w:color w:val="auto"/>
          <w:sz w:val="28"/>
          <w:szCs w:val="28"/>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010AB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日内或甲方同意延长的期限内，按照上述规定的任何一种方法采取补救措施，甲方有权从应付货款中扣除索赔金额，如不足以弥补甲方损失的，甲方有权进一步要求乙方赔偿。</w:t>
      </w:r>
    </w:p>
    <w:p w14:paraId="4D0BF9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.2</w:t>
      </w:r>
      <w:r>
        <w:rPr>
          <w:rFonts w:hint="eastAsia" w:ascii="仿宋" w:hAnsi="仿宋"/>
          <w:color w:val="auto"/>
          <w:sz w:val="28"/>
          <w:szCs w:val="28"/>
          <w:highlight w:val="none"/>
        </w:rPr>
        <w:t>　迟延交货的违约责任</w:t>
      </w:r>
    </w:p>
    <w:p w14:paraId="07631CF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乙方应按照本合同规定的时间、地点交货和提供服务。</w:t>
      </w:r>
    </w:p>
    <w:p w14:paraId="4A260C2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1279665">
      <w:pPr>
        <w:pStyle w:val="8"/>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highlight w:val="none"/>
        </w:rPr>
      </w:pPr>
      <w:r>
        <w:rPr>
          <w:rFonts w:hint="eastAsia" w:ascii="仿宋" w:hAnsi="仿宋"/>
          <w:color w:val="auto"/>
          <w:spacing w:val="-6"/>
          <w:sz w:val="28"/>
          <w:szCs w:val="28"/>
          <w:highlight w:val="none"/>
          <w:lang w:eastAsia="zh-CN"/>
        </w:rPr>
        <w:t>（3）</w:t>
      </w:r>
      <w:r>
        <w:rPr>
          <w:rFonts w:hint="eastAsia" w:ascii="仿宋" w:hAnsi="仿宋"/>
          <w:color w:val="auto"/>
          <w:spacing w:val="-6"/>
          <w:sz w:val="28"/>
          <w:szCs w:val="28"/>
          <w:highlight w:val="none"/>
        </w:rPr>
        <w:t>除甲乙双方另有约定外，如果乙方没有按照合同规定的时间交货和提供服务，甲方有权从货款中扣除或要求乙方另行支付误期赔偿费而不影响合同项下的其他补救方法。赔偿费每日按合同金额的</w:t>
      </w:r>
      <w:r>
        <w:rPr>
          <w:rFonts w:ascii="仿宋" w:hAnsi="仿宋"/>
          <w:color w:val="auto"/>
          <w:spacing w:val="-6"/>
          <w:sz w:val="28"/>
          <w:szCs w:val="28"/>
          <w:highlight w:val="none"/>
        </w:rPr>
        <w:t>0.5%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各单位可根据实际情况重新设定</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计收，直至交货或提供服务为止。但误期赔偿费的最高限额不超过合同价的</w:t>
      </w:r>
      <w:r>
        <w:rPr>
          <w:rFonts w:ascii="仿宋" w:hAnsi="仿宋"/>
          <w:color w:val="auto"/>
          <w:spacing w:val="-6"/>
          <w:sz w:val="28"/>
          <w:szCs w:val="28"/>
          <w:highlight w:val="none"/>
        </w:rPr>
        <w:t>15%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w:t>
      </w:r>
      <w:r>
        <w:rPr>
          <w:rFonts w:hint="eastAsia" w:ascii="仿宋" w:hAnsi="仿宋"/>
          <w:color w:val="auto"/>
          <w:sz w:val="28"/>
          <w:szCs w:val="28"/>
          <w:highlight w:val="none"/>
        </w:rPr>
        <w:t>重新设定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p>
    <w:p w14:paraId="4073AA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（4）</w:t>
      </w:r>
      <w:r>
        <w:rPr>
          <w:rFonts w:hint="eastAsia" w:ascii="仿宋" w:hAnsi="仿宋"/>
          <w:color w:val="auto"/>
          <w:sz w:val="28"/>
          <w:szCs w:val="28"/>
          <w:highlight w:val="none"/>
        </w:rPr>
        <w:t>如果乙方迟延交货超过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日，甲方有权终止全部或部分合同，并依其认为适当的条件和方法购买与未交货物类似的货物，乙方应负担购买类似货物所超出的费用。但是，乙方应继续执行合同中未终止的部分。</w:t>
      </w:r>
    </w:p>
    <w:p w14:paraId="0DB549C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w:t>
      </w:r>
      <w:r>
        <w:rPr>
          <w:rFonts w:hint="eastAsia" w:ascii="仿宋" w:hAnsi="仿宋"/>
          <w:color w:val="auto"/>
          <w:sz w:val="28"/>
          <w:szCs w:val="28"/>
          <w:highlight w:val="none"/>
        </w:rPr>
        <w:t>.3　未履行合同义务的违约责任</w:t>
      </w:r>
    </w:p>
    <w:p w14:paraId="3DB141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1</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按《中华人民共和国民法典》中的相关条款执行。</w:t>
      </w:r>
    </w:p>
    <w:p w14:paraId="278969E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2</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未按合同要求提供产品或产品质量不能满足招标文件的技术要求，甲方有权单方解除合同，并保留追究乙方违约责任的权利。</w:t>
      </w:r>
    </w:p>
    <w:p w14:paraId="3FC1119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3</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乙方未按照本合同第四条第2款约定的交货期限完成供货导致期限迟延的，则乙方应每天按照合同总价的1‰向甲方承担违约责任，如乙方延期供货达20日的视为乙方根本违约，甲方有权单方解除合同，乙方按合同总价款的10%向甲方支付违约金。</w:t>
      </w:r>
    </w:p>
    <w:p w14:paraId="5EEADC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4</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产品质量问题违约的，乙方除了按照迟延时间以本条第3款的标准计算违约金外，甲方另可以采取退货、换货等方式，乙方必须无条件更换，提高技术，完善质量，否则，甲方有权单方面解除合同，解除合同书面通知书到达乙方之日视为合同解除，并按以下两种方式追究乙方的违约责任：</w:t>
      </w:r>
    </w:p>
    <w:p w14:paraId="1CEE779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（1）乙方赔偿甲方解除合同的全部损失（包括但不限于重新招标、采购产生的费用、合同未履行导致设备不能按约定交付使用可能产生的租赁费用及其它由此造成的甲方对第三方的违约损失）；</w:t>
      </w:r>
    </w:p>
    <w:p w14:paraId="3DBE411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（2）乙方支付甲方违约金，违约金计算方法：以合同总价为基数，支付甲方合同总价的10%为违约金，同时甲方对乙方的违约行为上报监管机构进行相应的处罚。</w:t>
      </w:r>
    </w:p>
    <w:p w14:paraId="07CCA71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不可抗力</w:t>
      </w:r>
    </w:p>
    <w:p w14:paraId="08C772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76D9F4B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0F8A4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CB21F4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11</w:t>
      </w:r>
      <w:r>
        <w:rPr>
          <w:rFonts w:ascii="仿宋" w:hAnsi="仿宋"/>
          <w:color w:val="auto"/>
          <w:sz w:val="28"/>
          <w:szCs w:val="28"/>
          <w:highlight w:val="none"/>
        </w:rPr>
        <w:t>.</w:t>
      </w:r>
      <w:r>
        <w:rPr>
          <w:rFonts w:hint="eastAsia" w:ascii="仿宋" w:hAnsi="仿宋"/>
          <w:color w:val="auto"/>
          <w:sz w:val="28"/>
          <w:szCs w:val="28"/>
          <w:highlight w:val="none"/>
        </w:rPr>
        <w:t>合同纠纷的解决方式</w:t>
      </w:r>
    </w:p>
    <w:p w14:paraId="442F64E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hint="eastAsia" w:ascii="仿宋" w:hAnsi="仿宋"/>
          <w:color w:val="auto"/>
          <w:sz w:val="28"/>
          <w:szCs w:val="28"/>
          <w:highlight w:val="none"/>
          <w:lang w:eastAsia="zh-CN"/>
        </w:rPr>
        <w:t>（</w:t>
      </w:r>
      <w:r>
        <w:rPr>
          <w:rFonts w:hint="eastAsia" w:ascii="仿宋" w:hAnsi="仿宋"/>
          <w:color w:val="auto"/>
          <w:sz w:val="28"/>
          <w:szCs w:val="28"/>
          <w:highlight w:val="none"/>
        </w:rPr>
        <w:t>根据实际情况设定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不能解决，可以按合同规定的方式提起仲裁或诉讼。</w:t>
      </w:r>
    </w:p>
    <w:p w14:paraId="22F8B06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　仲裁裁决应为最终裁决，对双方均具有约束力。</w:t>
      </w:r>
    </w:p>
    <w:p w14:paraId="2C82B3C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.3</w:t>
      </w:r>
      <w:r>
        <w:rPr>
          <w:rFonts w:hint="eastAsia" w:ascii="仿宋" w:hAnsi="仿宋"/>
          <w:color w:val="auto"/>
          <w:sz w:val="28"/>
          <w:szCs w:val="28"/>
          <w:highlight w:val="none"/>
        </w:rPr>
        <w:t>　仲裁费除仲裁机关另有裁决外应由败诉方负担。</w:t>
      </w:r>
    </w:p>
    <w:p w14:paraId="2570D6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.4</w:t>
      </w:r>
      <w:r>
        <w:rPr>
          <w:rFonts w:hint="eastAsia" w:ascii="仿宋" w:hAnsi="仿宋"/>
          <w:color w:val="auto"/>
          <w:sz w:val="28"/>
          <w:szCs w:val="28"/>
          <w:highlight w:val="none"/>
        </w:rPr>
        <w:t>　诉讼应由甲方住所地人民法院管辖。财产保全担保保险费、财产保全申请费、律师代理费、差旅费、评估费、鉴定费及诉讼费等与仲裁或诉讼活动相关费用应由败诉方负担。</w:t>
      </w:r>
    </w:p>
    <w:p w14:paraId="671325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162DE5A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合同修改或变更</w:t>
      </w:r>
    </w:p>
    <w:p w14:paraId="6D0C116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　如无重大变故，</w:t>
      </w:r>
      <w:r>
        <w:rPr>
          <w:rFonts w:hint="eastAsia" w:ascii="仿宋" w:hAnsi="仿宋"/>
          <w:color w:val="auto"/>
          <w:sz w:val="28"/>
          <w:szCs w:val="28"/>
          <w:highlight w:val="none"/>
          <w:lang w:eastAsia="zh-CN"/>
        </w:rPr>
        <w:t>甲乙</w:t>
      </w:r>
      <w:r>
        <w:rPr>
          <w:rFonts w:hint="eastAsia" w:ascii="仿宋" w:hAnsi="仿宋"/>
          <w:color w:val="auto"/>
          <w:sz w:val="28"/>
          <w:szCs w:val="28"/>
          <w:highlight w:val="none"/>
        </w:rPr>
        <w:t>双方不得擅自变更合同。</w:t>
      </w:r>
    </w:p>
    <w:p w14:paraId="3379FD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如确需变更合同，甲乙双方应签署书面变更协议。变更协议为本合同不可分割的一部分。</w:t>
      </w:r>
    </w:p>
    <w:p w14:paraId="2BAA42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365FDD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w:t>
      </w:r>
      <w:r>
        <w:rPr>
          <w:rFonts w:hint="eastAsia" w:ascii="仿宋" w:hAnsi="仿宋"/>
          <w:color w:val="auto"/>
          <w:sz w:val="28"/>
          <w:szCs w:val="28"/>
          <w:highlight w:val="none"/>
        </w:rPr>
        <w:t>合同中止</w:t>
      </w:r>
    </w:p>
    <w:p w14:paraId="207506A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就采购过程或结果提起投诉的，甲方认为有必要或财政部门责令中止的，应当中止合同的履行。</w:t>
      </w:r>
    </w:p>
    <w:p w14:paraId="3C6AD01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14</w:t>
      </w:r>
      <w:r>
        <w:rPr>
          <w:rFonts w:ascii="仿宋" w:hAnsi="仿宋"/>
          <w:color w:val="auto"/>
          <w:sz w:val="28"/>
          <w:szCs w:val="28"/>
          <w:highlight w:val="none"/>
        </w:rPr>
        <w:t>.</w:t>
      </w:r>
      <w:r>
        <w:rPr>
          <w:rFonts w:hint="eastAsia" w:ascii="仿宋" w:hAnsi="仿宋"/>
          <w:color w:val="auto"/>
          <w:sz w:val="28"/>
          <w:szCs w:val="28"/>
          <w:highlight w:val="none"/>
        </w:rPr>
        <w:t>终止合同</w:t>
      </w:r>
    </w:p>
    <w:p w14:paraId="45CEB48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.1</w:t>
      </w:r>
      <w:r>
        <w:rPr>
          <w:rFonts w:hint="eastAsia" w:ascii="仿宋" w:hAnsi="仿宋"/>
          <w:color w:val="auto"/>
          <w:sz w:val="28"/>
          <w:szCs w:val="28"/>
          <w:highlight w:val="none"/>
        </w:rPr>
        <w:t>　若出现如下情形，在甲方对乙方违约行为而采取的任何补救措施不受影响的情况下，甲方可向乙方发出书面通知书，提出终止部分或全部合同：</w:t>
      </w:r>
    </w:p>
    <w:p w14:paraId="0C76FB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如果乙方未能在合同规定的期限或甲方同意延长的期限内提供货物或服务；</w:t>
      </w:r>
    </w:p>
    <w:p w14:paraId="06DC9C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如果乙方未能履行合同规定的其他任何义务，出现两次服务达不到承诺标准情况，甲方有权终止合同；</w:t>
      </w:r>
    </w:p>
    <w:p w14:paraId="30E10FC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（3）</w:t>
      </w:r>
      <w:r>
        <w:rPr>
          <w:rFonts w:hint="eastAsia" w:ascii="仿宋" w:hAnsi="仿宋"/>
          <w:color w:val="auto"/>
          <w:sz w:val="28"/>
          <w:szCs w:val="28"/>
          <w:highlight w:val="none"/>
        </w:rPr>
        <w:t>如果甲方认为乙方在本合同的竞争或实施中有腐败和欺诈行为。</w:t>
      </w:r>
    </w:p>
    <w:p w14:paraId="244985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.2</w:t>
      </w:r>
      <w:r>
        <w:rPr>
          <w:rFonts w:hint="eastAsia" w:ascii="仿宋" w:hAnsi="仿宋"/>
          <w:color w:val="auto"/>
          <w:sz w:val="28"/>
          <w:szCs w:val="28"/>
          <w:highlight w:val="none"/>
        </w:rPr>
        <w:t>　如果甲方根据上述第</w:t>
      </w:r>
      <w:r>
        <w:rPr>
          <w:rFonts w:ascii="仿宋" w:hAnsi="仿宋"/>
          <w:color w:val="auto"/>
          <w:sz w:val="28"/>
          <w:szCs w:val="28"/>
          <w:highlight w:val="none"/>
        </w:rPr>
        <w:t>15.1</w:t>
      </w:r>
      <w:r>
        <w:rPr>
          <w:rFonts w:hint="eastAsia" w:ascii="仿宋" w:hAnsi="仿宋"/>
          <w:color w:val="auto"/>
          <w:sz w:val="28"/>
          <w:szCs w:val="28"/>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65DEB39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w:t>
      </w:r>
      <w:r>
        <w:rPr>
          <w:rFonts w:hint="eastAsia" w:ascii="仿宋" w:hAnsi="仿宋"/>
          <w:color w:val="auto"/>
          <w:sz w:val="28"/>
          <w:szCs w:val="28"/>
          <w:highlight w:val="none"/>
        </w:rPr>
        <w:t>破产终止合同</w:t>
      </w:r>
    </w:p>
    <w:p w14:paraId="1458408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.1</w:t>
      </w:r>
      <w:r>
        <w:rPr>
          <w:rFonts w:hint="eastAsia" w:ascii="仿宋" w:hAnsi="仿宋"/>
          <w:color w:val="auto"/>
          <w:sz w:val="28"/>
          <w:szCs w:val="28"/>
          <w:highlight w:val="none"/>
        </w:rPr>
        <w:t>　如果乙方破产或无清偿能力，甲方可在任何时候以书面形式通知乙方终止合同而不给乙方补偿。</w:t>
      </w:r>
    </w:p>
    <w:p w14:paraId="5C85F56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.2</w:t>
      </w:r>
      <w:r>
        <w:rPr>
          <w:rFonts w:hint="eastAsia" w:ascii="仿宋" w:hAnsi="仿宋"/>
          <w:color w:val="auto"/>
          <w:sz w:val="28"/>
          <w:szCs w:val="28"/>
          <w:highlight w:val="none"/>
        </w:rPr>
        <w:t>　该终止行为将不损害或影响甲方已经采取或将要采取的任何行动或补救措施的权利。</w:t>
      </w:r>
    </w:p>
    <w:p w14:paraId="4FB9005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w:t>
      </w:r>
      <w:r>
        <w:rPr>
          <w:rFonts w:hint="eastAsia" w:ascii="仿宋" w:hAnsi="仿宋"/>
          <w:color w:val="auto"/>
          <w:sz w:val="28"/>
          <w:szCs w:val="28"/>
          <w:highlight w:val="none"/>
        </w:rPr>
        <w:t>其他终止合同情况</w:t>
      </w:r>
    </w:p>
    <w:p w14:paraId="3F11F8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.1</w:t>
      </w:r>
      <w:r>
        <w:rPr>
          <w:rFonts w:hint="eastAsia" w:ascii="仿宋" w:hAnsi="仿宋"/>
          <w:color w:val="auto"/>
          <w:sz w:val="28"/>
          <w:szCs w:val="28"/>
          <w:highlight w:val="none"/>
        </w:rPr>
        <w:t>　若合同继续履行将给甲方造成重大损失的，甲方可以终止合同而不给予乙方任何补偿。</w:t>
      </w:r>
    </w:p>
    <w:p w14:paraId="5E25FDB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1FA92EF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713BA94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合同转让和分包</w:t>
      </w:r>
    </w:p>
    <w:p w14:paraId="7FC3A7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乙方不得以任何形式将合同转包，或部分或全部转让其应履行的合同义务。</w:t>
      </w:r>
    </w:p>
    <w:p w14:paraId="3C019B7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.2</w:t>
      </w:r>
      <w:r>
        <w:rPr>
          <w:rFonts w:hint="eastAsia" w:ascii="仿宋" w:hAnsi="仿宋"/>
          <w:color w:val="auto"/>
          <w:sz w:val="28"/>
          <w:szCs w:val="28"/>
          <w:highlight w:val="none"/>
        </w:rPr>
        <w:t>　除经甲方事先书面同意外，乙方不得以任何形式将合同分包。</w:t>
      </w:r>
    </w:p>
    <w:p w14:paraId="3536AE8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适用法律</w:t>
      </w:r>
    </w:p>
    <w:p w14:paraId="348426F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1F5940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w:t>
      </w:r>
      <w:r>
        <w:rPr>
          <w:rFonts w:hint="eastAsia" w:ascii="仿宋" w:hAnsi="仿宋"/>
          <w:color w:val="auto"/>
          <w:sz w:val="28"/>
          <w:szCs w:val="28"/>
          <w:highlight w:val="none"/>
        </w:rPr>
        <w:t>合同语言</w:t>
      </w:r>
    </w:p>
    <w:p w14:paraId="10023B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.1</w:t>
      </w:r>
      <w:r>
        <w:rPr>
          <w:rFonts w:hint="eastAsia" w:ascii="仿宋" w:hAnsi="仿宋"/>
          <w:color w:val="auto"/>
          <w:sz w:val="28"/>
          <w:szCs w:val="28"/>
          <w:highlight w:val="none"/>
        </w:rPr>
        <w:t>　本合同语言为中文。</w:t>
      </w:r>
    </w:p>
    <w:p w14:paraId="4FADF33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.2</w:t>
      </w:r>
      <w:r>
        <w:rPr>
          <w:rFonts w:hint="eastAsia" w:ascii="仿宋" w:hAnsi="仿宋"/>
          <w:color w:val="auto"/>
          <w:sz w:val="28"/>
          <w:szCs w:val="28"/>
          <w:highlight w:val="none"/>
        </w:rPr>
        <w:t>　双方交换的与合同有关的信件和其他文件应用合同语言书写。</w:t>
      </w:r>
    </w:p>
    <w:p w14:paraId="45DCD0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合同生效</w:t>
      </w:r>
    </w:p>
    <w:p w14:paraId="251FE25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本合同应在双方签字盖章后生效。</w:t>
      </w:r>
    </w:p>
    <w:p w14:paraId="2EA2966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合同效力</w:t>
      </w:r>
    </w:p>
    <w:p w14:paraId="6762DF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除本合同和甲乙双方书面签署的补充协议外，其他任何形式的双方约定和往来函件均不具有法律效力，对本项目无约束力。</w:t>
      </w:r>
    </w:p>
    <w:p w14:paraId="40B6BF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检查和审计</w:t>
      </w:r>
    </w:p>
    <w:p w14:paraId="3050C49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7C95F7A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6AA2DCC2">
      <w:pPr>
        <w:rPr>
          <w:color w:val="auto"/>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264F0079"/>
    <w:rsid w:val="36DE2219"/>
    <w:rsid w:val="403B217E"/>
    <w:rsid w:val="58BC239B"/>
    <w:rsid w:val="64DF3A6C"/>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6236</Words>
  <Characters>6692</Characters>
  <Lines>0</Lines>
  <Paragraphs>0</Paragraphs>
  <TotalTime>0</TotalTime>
  <ScaleCrop>false</ScaleCrop>
  <LinksUpToDate>false</LinksUpToDate>
  <CharactersWithSpaces>6840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2026-04-17T08:43:54Z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