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版本号：SCZA2026-ZB-0897-00120260417001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第十届丝博会综合服务项目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SCZA2026-ZB-0897-001</w:t>
      </w:r>
      <w:r>
        <w:br/>
      </w:r>
      <w:r>
        <w:br/>
      </w:r>
      <w:r>
        <w:br/>
      </w:r>
    </w:p>
    <w:p>
      <w:pPr>
        <w:pStyle w:val="null3"/>
        <w:jc w:val="center"/>
        <w:outlineLvl w:val="2"/>
      </w:pPr>
      <w:r>
        <w:rPr>
          <w:rFonts w:ascii="仿宋_GB2312" w:hAnsi="仿宋_GB2312" w:cs="仿宋_GB2312" w:eastAsia="仿宋_GB2312"/>
          <w:sz w:val="28"/>
          <w:b/>
        </w:rPr>
        <w:t>丝博会执委会</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丝博会执委会</w:t>
      </w:r>
      <w:r>
        <w:rPr>
          <w:rFonts w:ascii="仿宋_GB2312" w:hAnsi="仿宋_GB2312" w:cs="仿宋_GB2312" w:eastAsia="仿宋_GB2312"/>
        </w:rPr>
        <w:t>委托，拟对</w:t>
      </w:r>
      <w:r>
        <w:rPr>
          <w:rFonts w:ascii="仿宋_GB2312" w:hAnsi="仿宋_GB2312" w:cs="仿宋_GB2312" w:eastAsia="仿宋_GB2312"/>
        </w:rPr>
        <w:t>第十届丝博会综合服务项目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SCZA2026-ZB-0897-001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第十届丝博会综合服务项目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第十届丝博会综合服务项目，具体详见本项目招标文件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查询：投标人在递交投标文件截止时间前被“信用中国”网站（www.creditchina.gov.cn）和中国政府采购网（www.ccgp.gov.cn）上被列入失信被执行人、重大税收违法失信主体、政府采购严重违法失信行为信息记录名单的，不得参加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丝博会执委会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新城大院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029-63913869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陕西省西安市高新区唐延南路都市之门C座9层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马亚敏、白国锋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029-85266644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陕西省财政厅政府采购管理处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采购包1：6,800,000.00元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采购包1保证金金额：70,000.00元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开户银行：中国银行西安南郊支行营业部</w:t>
            </w:r>
          </w:p>
          <w:p>
            <w:pPr>
              <w:pStyle w:val="null3"/>
            </w:pPr>
            <w:r>
              <w:rPr>
                <w:rFonts w:ascii="仿宋_GB2312" w:hAnsi="仿宋_GB2312" w:cs="仿宋_GB2312" w:eastAsia="仿宋_GB2312"/>
              </w:rPr>
              <w:t>银行账号：103262467181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供应商在领取成交通知书前，须向采购代理机构支付成交服务费，服务费由采购人与采购代理机构约定：（参照原国家计委计价格〔2002〕1980号文和国家发改委发改办价格〔2003〕857号文的计算方法按标准（按标段）收取。2.成交单位的代理服务费交纳信息 银行户名：陕西省采购招标有限责任公司 开户银行：中国光大银行西安友谊路支行 账号：78560188000095264 联系人：财务部 联系电话：029-85263975</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丝博会执委会</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丝博会执委会</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丝博会执委会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详见最终签订合同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地址：陕西省西安市高新区唐延南路都市之门C座9层</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第十届丝博会综合服务项目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6,800,000.00</w:t>
      </w:r>
    </w:p>
    <w:p>
      <w:pPr>
        <w:pStyle w:val="null3"/>
      </w:pPr>
      <w:r>
        <w:rPr>
          <w:rFonts w:ascii="仿宋_GB2312" w:hAnsi="仿宋_GB2312" w:cs="仿宋_GB2312" w:eastAsia="仿宋_GB2312"/>
        </w:rPr>
        <w:t>采购包最高限价（元）: 6,800,000.00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综合服务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6,800,000.00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标的名称：综合服务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一、项目名称</w:t>
            </w:r>
          </w:p>
          <w:p>
            <w:pPr>
              <w:pStyle w:val="null3"/>
            </w:pPr>
            <w:r>
              <w:rPr>
                <w:rFonts w:ascii="仿宋_GB2312" w:hAnsi="仿宋_GB2312" w:cs="仿宋_GB2312" w:eastAsia="仿宋_GB2312"/>
              </w:rPr>
              <w:t>第十届丝绸之路国际博览会暨中国东西部合作与投资贸易洽谈会（简称：第十届丝博会）综合服务项目。</w:t>
            </w:r>
          </w:p>
          <w:p>
            <w:pPr>
              <w:pStyle w:val="null3"/>
            </w:pPr>
            <w:r>
              <w:rPr>
                <w:rFonts w:ascii="仿宋_GB2312" w:hAnsi="仿宋_GB2312" w:cs="仿宋_GB2312" w:eastAsia="仿宋_GB2312"/>
              </w:rPr>
              <w:t>二、项目时间</w:t>
            </w:r>
          </w:p>
          <w:p>
            <w:pPr>
              <w:pStyle w:val="null3"/>
            </w:pPr>
            <w:r>
              <w:rPr>
                <w:rFonts w:ascii="仿宋_GB2312" w:hAnsi="仿宋_GB2312" w:cs="仿宋_GB2312" w:eastAsia="仿宋_GB2312"/>
              </w:rPr>
              <w:t>2026年5月21日—25日，时间5天。</w:t>
            </w:r>
          </w:p>
          <w:p>
            <w:pPr>
              <w:pStyle w:val="null3"/>
            </w:pPr>
            <w:r>
              <w:rPr>
                <w:rFonts w:ascii="仿宋_GB2312" w:hAnsi="仿宋_GB2312" w:cs="仿宋_GB2312" w:eastAsia="仿宋_GB2312"/>
              </w:rPr>
              <w:t>三、项目地址</w:t>
            </w:r>
          </w:p>
          <w:p>
            <w:pPr>
              <w:pStyle w:val="null3"/>
            </w:pPr>
            <w:r>
              <w:rPr>
                <w:rFonts w:ascii="仿宋_GB2312" w:hAnsi="仿宋_GB2312" w:cs="仿宋_GB2312" w:eastAsia="仿宋_GB2312"/>
              </w:rPr>
              <w:t>西安国际会展中心展览馆、会议楼（陕西省西安市灞桥区会展一路1399号）。</w:t>
            </w:r>
          </w:p>
          <w:p>
            <w:pPr>
              <w:pStyle w:val="null3"/>
            </w:pPr>
            <w:r>
              <w:rPr>
                <w:rFonts w:ascii="仿宋_GB2312" w:hAnsi="仿宋_GB2312" w:cs="仿宋_GB2312" w:eastAsia="仿宋_GB2312"/>
              </w:rPr>
              <w:t>四、项目设置</w:t>
            </w:r>
          </w:p>
          <w:p>
            <w:pPr>
              <w:pStyle w:val="null3"/>
            </w:pPr>
            <w:r>
              <w:rPr>
                <w:rFonts w:ascii="仿宋_GB2312" w:hAnsi="仿宋_GB2312" w:cs="仿宋_GB2312" w:eastAsia="仿宋_GB2312"/>
              </w:rPr>
              <w:t>（一）展区公共部分的设计搭建管理工作</w:t>
            </w:r>
          </w:p>
          <w:p>
            <w:pPr>
              <w:pStyle w:val="null3"/>
            </w:pPr>
            <w:r>
              <w:rPr>
                <w:rFonts w:ascii="仿宋_GB2312" w:hAnsi="仿宋_GB2312" w:cs="仿宋_GB2312" w:eastAsia="仿宋_GB2312"/>
              </w:rPr>
              <w:t>根据展览内容，结合趋势性、专业性、可持续性、可看性和体验性的特点，规划西安国际会展中心展览馆、会议楼公共区域的设计搭建。具体要求如下：</w:t>
            </w:r>
          </w:p>
          <w:p>
            <w:pPr>
              <w:pStyle w:val="null3"/>
            </w:pPr>
            <w:r>
              <w:rPr>
                <w:rFonts w:ascii="仿宋_GB2312" w:hAnsi="仿宋_GB2312" w:cs="仿宋_GB2312" w:eastAsia="仿宋_GB2312"/>
              </w:rPr>
              <w:t>1.功能完善，设计新颖，选材环保，设计风格一致，具有国际视野。</w:t>
            </w:r>
          </w:p>
          <w:p>
            <w:pPr>
              <w:pStyle w:val="null3"/>
            </w:pPr>
            <w:r>
              <w:rPr>
                <w:rFonts w:ascii="仿宋_GB2312" w:hAnsi="仿宋_GB2312" w:cs="仿宋_GB2312" w:eastAsia="仿宋_GB2312"/>
              </w:rPr>
              <w:t>2.做好相关设计与制作工作，包括：VI视觉设计、主门头设计搭建；服务台、洽谈区等功能区布置。</w:t>
            </w:r>
          </w:p>
          <w:p>
            <w:pPr>
              <w:pStyle w:val="null3"/>
            </w:pPr>
            <w:r>
              <w:rPr>
                <w:rFonts w:ascii="仿宋_GB2312" w:hAnsi="仿宋_GB2312" w:cs="仿宋_GB2312" w:eastAsia="仿宋_GB2312"/>
              </w:rPr>
              <w:t>（二）重要活动工作</w:t>
            </w:r>
          </w:p>
          <w:p>
            <w:pPr>
              <w:pStyle w:val="null3"/>
            </w:pPr>
            <w:r>
              <w:rPr>
                <w:rFonts w:ascii="仿宋_GB2312" w:hAnsi="仿宋_GB2312" w:cs="仿宋_GB2312" w:eastAsia="仿宋_GB2312"/>
              </w:rPr>
              <w:t>主要包括开幕式（含巡馆）及新闻发布会等。工作内容主要包括西安国际会展中心会议楼场地租赁（面积不小于4000平方米），开幕式布展方案设计搭建、会场布置，资料制作及印刷品设计、制作（包括文件材料、开幕式邀请函、会刊、手提袋等），摄影摄像，会务组织，相关文件材料起草，礼仪等现场服务。</w:t>
            </w:r>
          </w:p>
          <w:p>
            <w:pPr>
              <w:pStyle w:val="null3"/>
            </w:pPr>
            <w:r>
              <w:rPr>
                <w:rFonts w:ascii="仿宋_GB2312" w:hAnsi="仿宋_GB2312" w:cs="仿宋_GB2312" w:eastAsia="仿宋_GB2312"/>
              </w:rPr>
              <w:t>（三）氛围营造</w:t>
            </w:r>
          </w:p>
          <w:p>
            <w:pPr>
              <w:pStyle w:val="null3"/>
            </w:pPr>
            <w:r>
              <w:rPr>
                <w:rFonts w:ascii="仿宋_GB2312" w:hAnsi="仿宋_GB2312" w:cs="仿宋_GB2312" w:eastAsia="仿宋_GB2312"/>
              </w:rPr>
              <w:t>需根据执委会要求设置，满足以下条件：</w:t>
            </w:r>
          </w:p>
          <w:p>
            <w:pPr>
              <w:pStyle w:val="null3"/>
            </w:pPr>
            <w:r>
              <w:rPr>
                <w:rFonts w:ascii="仿宋_GB2312" w:hAnsi="仿宋_GB2312" w:cs="仿宋_GB2312" w:eastAsia="仿宋_GB2312"/>
              </w:rPr>
              <w:t>“两站一场”、陕西宾馆、西安国际会展中心道路周边区域氛围营造，包含但不限于场馆、会议楼及其周边区域道旗悬挂，电子屏视频播放，交通标识，场内指示标识等。</w:t>
            </w:r>
          </w:p>
          <w:p>
            <w:pPr>
              <w:pStyle w:val="null3"/>
            </w:pPr>
            <w:r>
              <w:rPr>
                <w:rFonts w:ascii="仿宋_GB2312" w:hAnsi="仿宋_GB2312" w:cs="仿宋_GB2312" w:eastAsia="仿宋_GB2312"/>
              </w:rPr>
              <w:t>（四）展区现场服务</w:t>
            </w:r>
          </w:p>
          <w:p>
            <w:pPr>
              <w:pStyle w:val="null3"/>
            </w:pPr>
            <w:r>
              <w:rPr>
                <w:rFonts w:ascii="仿宋_GB2312" w:hAnsi="仿宋_GB2312" w:cs="仿宋_GB2312" w:eastAsia="仿宋_GB2312"/>
              </w:rPr>
              <w:t>根据执委会要求统一运营管理展览、活动，提供标准的服务工作，服从执委会统一高效管理，满足以下要求：</w:t>
            </w:r>
          </w:p>
          <w:p>
            <w:pPr>
              <w:pStyle w:val="null3"/>
            </w:pPr>
            <w:r>
              <w:rPr>
                <w:rFonts w:ascii="仿宋_GB2312" w:hAnsi="仿宋_GB2312" w:cs="仿宋_GB2312" w:eastAsia="仿宋_GB2312"/>
              </w:rPr>
              <w:t>1.展会资源管理。充分统筹场地、市场、环境等因素，整合展会现场资源，做好资源运营服务，包括：会场规划、餐饮服务、宣传服务等。</w:t>
            </w:r>
          </w:p>
          <w:p>
            <w:pPr>
              <w:pStyle w:val="null3"/>
            </w:pPr>
            <w:r>
              <w:rPr>
                <w:rFonts w:ascii="仿宋_GB2312" w:hAnsi="仿宋_GB2312" w:cs="仿宋_GB2312" w:eastAsia="仿宋_GB2312"/>
              </w:rPr>
              <w:t>2.现场设置总值班室、贵宾室、休息室和安全保卫办公室、知识产权保护办公室、各展区承办单位办公室等专门机构的大会服务。</w:t>
            </w:r>
          </w:p>
          <w:p>
            <w:pPr>
              <w:pStyle w:val="null3"/>
            </w:pPr>
            <w:r>
              <w:rPr>
                <w:rFonts w:ascii="仿宋_GB2312" w:hAnsi="仿宋_GB2312" w:cs="仿宋_GB2312" w:eastAsia="仿宋_GB2312"/>
              </w:rPr>
              <w:t>（五）综合保障</w:t>
            </w:r>
          </w:p>
          <w:p>
            <w:pPr>
              <w:pStyle w:val="null3"/>
            </w:pPr>
            <w:r>
              <w:rPr>
                <w:rFonts w:ascii="仿宋_GB2312" w:hAnsi="仿宋_GB2312" w:cs="仿宋_GB2312" w:eastAsia="仿宋_GB2312"/>
              </w:rPr>
              <w:t>根据执委会要求，提供综合保障工作，满足以下要求：</w:t>
            </w:r>
          </w:p>
          <w:p>
            <w:pPr>
              <w:pStyle w:val="null3"/>
            </w:pPr>
            <w:r>
              <w:rPr>
                <w:rFonts w:ascii="仿宋_GB2312" w:hAnsi="仿宋_GB2312" w:cs="仿宋_GB2312" w:eastAsia="仿宋_GB2312"/>
              </w:rPr>
              <w:t>1.重点保障大会集中办公期间工作人员食宿、用车、会议室等使用。</w:t>
            </w:r>
          </w:p>
          <w:p>
            <w:pPr>
              <w:pStyle w:val="null3"/>
            </w:pPr>
            <w:r>
              <w:rPr>
                <w:rFonts w:ascii="仿宋_GB2312" w:hAnsi="仿宋_GB2312" w:cs="仿宋_GB2312" w:eastAsia="仿宋_GB2312"/>
              </w:rPr>
              <w:t>2.做好大会会务资料起草、编印、报审工作。主要包括：文件材料、大会邀请函、办公信封、手提袋、会刊、观众入场指南、参展指南、丝博会《工作动态》等。</w:t>
            </w:r>
          </w:p>
          <w:p>
            <w:pPr>
              <w:pStyle w:val="null3"/>
            </w:pPr>
            <w:r>
              <w:rPr>
                <w:rFonts w:ascii="仿宋_GB2312" w:hAnsi="仿宋_GB2312" w:cs="仿宋_GB2312" w:eastAsia="仿宋_GB2312"/>
              </w:rPr>
              <w:t>3.做好大会总值班室综合服务和文字材料（①会刊等资料收集、编辑和大会翻译、各类文件校核；②丝博会《工作动态》的采集、编辑、报审、印发）起草服务工作。</w:t>
            </w:r>
          </w:p>
          <w:p>
            <w:pPr>
              <w:pStyle w:val="null3"/>
            </w:pPr>
            <w:r>
              <w:rPr>
                <w:rFonts w:ascii="仿宋_GB2312" w:hAnsi="仿宋_GB2312" w:cs="仿宋_GB2312" w:eastAsia="仿宋_GB2312"/>
              </w:rPr>
              <w:t>（六）展区安全管理</w:t>
            </w:r>
          </w:p>
          <w:p>
            <w:pPr>
              <w:pStyle w:val="null3"/>
            </w:pPr>
            <w:r>
              <w:rPr>
                <w:rFonts w:ascii="仿宋_GB2312" w:hAnsi="仿宋_GB2312" w:cs="仿宋_GB2312" w:eastAsia="仿宋_GB2312"/>
              </w:rPr>
              <w:t>1.各展区安全工作牵头协调和落实督导。</w:t>
            </w:r>
          </w:p>
          <w:p>
            <w:pPr>
              <w:pStyle w:val="null3"/>
            </w:pPr>
            <w:r>
              <w:rPr>
                <w:rFonts w:ascii="仿宋_GB2312" w:hAnsi="仿宋_GB2312" w:cs="仿宋_GB2312" w:eastAsia="仿宋_GB2312"/>
              </w:rPr>
              <w:t>2.负责购买大会保险。投保人范围：包括但不限于第十届丝博会涉及的宾馆、会议等活动场所人员；参加展览会议参展参会人员、现场工作人员、服务保障人员及所有与会相关人员。</w:t>
            </w:r>
          </w:p>
          <w:p>
            <w:pPr>
              <w:pStyle w:val="null3"/>
            </w:pPr>
            <w:r>
              <w:rPr>
                <w:rFonts w:ascii="仿宋_GB2312" w:hAnsi="仿宋_GB2312" w:cs="仿宋_GB2312" w:eastAsia="仿宋_GB2312"/>
              </w:rPr>
              <w:t>3.现场安保服务，负责与展馆所在地的公安（辖区公安局、治安支队、指挥中心、派出所）、交警、消防、卫生、市场监管、知识产权、城管、西安国际会展中心、物业等部门协调，解决参展车辆通行、展场秩序管理等相关事项。如发生安全问题或人员伤亡，由投标人承担全部责任。</w:t>
            </w:r>
          </w:p>
          <w:p>
            <w:pPr>
              <w:pStyle w:val="null3"/>
            </w:pPr>
            <w:r>
              <w:rPr>
                <w:rFonts w:ascii="仿宋_GB2312" w:hAnsi="仿宋_GB2312" w:cs="仿宋_GB2312" w:eastAsia="仿宋_GB2312"/>
              </w:rPr>
              <w:t>（七）专业观众的组织</w:t>
            </w:r>
          </w:p>
          <w:p>
            <w:pPr>
              <w:pStyle w:val="null3"/>
            </w:pPr>
            <w:r>
              <w:rPr>
                <w:rFonts w:ascii="仿宋_GB2312" w:hAnsi="仿宋_GB2312" w:cs="仿宋_GB2312" w:eastAsia="仿宋_GB2312"/>
              </w:rPr>
              <w:t>根据执委会要求组织组织与丝博会展览展示内容相关的丝路优品、航空/低空经济、汽车智造、港贸产融合、中欧班列相关行业的央企、世界500强企业，制造商、经销商、零售商等专业观众。</w:t>
            </w:r>
          </w:p>
          <w:p>
            <w:pPr>
              <w:pStyle w:val="null3"/>
            </w:pPr>
            <w:r>
              <w:rPr>
                <w:rFonts w:ascii="仿宋_GB2312" w:hAnsi="仿宋_GB2312" w:cs="仿宋_GB2312" w:eastAsia="仿宋_GB2312"/>
              </w:rPr>
              <w:t>（八）丝博会线上平台运营</w:t>
            </w:r>
          </w:p>
          <w:p>
            <w:pPr>
              <w:pStyle w:val="null3"/>
            </w:pPr>
            <w:r>
              <w:rPr>
                <w:rFonts w:ascii="仿宋_GB2312" w:hAnsi="仿宋_GB2312" w:cs="仿宋_GB2312" w:eastAsia="仿宋_GB2312"/>
              </w:rPr>
              <w:t>丝博会数字化平台是陕西会展云平台的基础性平台。具体要求如下：</w:t>
            </w:r>
          </w:p>
          <w:p>
            <w:pPr>
              <w:pStyle w:val="null3"/>
            </w:pPr>
            <w:r>
              <w:rPr>
                <w:rFonts w:ascii="仿宋_GB2312" w:hAnsi="仿宋_GB2312" w:cs="仿宋_GB2312" w:eastAsia="仿宋_GB2312"/>
              </w:rPr>
              <w:t>1.丝博会线上综合管理平台功能。完成线上综合管理平台灰度发布，保障业务稳定；搭建分级资源管控体系，实现参展商、观众及证件信息精细化管理；提升全流程自动化水平与管理效能；优化智能匹配、用户画像算法，提高精准度；满足数据大屏可视化应用需求，支持多维度展示、实时监控及自定义报表导出。同时，建设丝博智能体集群，通过AI能力深度赋能展会商务撮合、参会服务、现场保障、运营决策全流程，实现各系统数据互通、安全运行，提升整体服务与管理效能。通过微信公众号、短信平台定时为往届来陕参会的参展商、专业观众推送陕西展会最新动态，数智化升级陕西省会展云平台并提供运维服务。</w:t>
            </w:r>
          </w:p>
          <w:p>
            <w:pPr>
              <w:pStyle w:val="null3"/>
            </w:pPr>
            <w:r>
              <w:rPr>
                <w:rFonts w:ascii="仿宋_GB2312" w:hAnsi="仿宋_GB2312" w:cs="仿宋_GB2312" w:eastAsia="仿宋_GB2312"/>
              </w:rPr>
              <w:t>2.丝博会官网功能。完善官网矩阵多终端适配能力，保障访问稳定流畅；优化展品分类、商务配对等基础功能，升级微信小程序服务能力，夯实线上线下协同服务基础。</w:t>
            </w:r>
          </w:p>
          <w:p>
            <w:pPr>
              <w:pStyle w:val="null3"/>
            </w:pPr>
            <w:r>
              <w:rPr>
                <w:rFonts w:ascii="仿宋_GB2312" w:hAnsi="仿宋_GB2312" w:cs="仿宋_GB2312" w:eastAsia="仿宋_GB2312"/>
              </w:rPr>
              <w:t>3.提供平台安全性方案和运行维护服务方案，满足稳定性、实用性、开放性、易拓展性、安全保密性等要求，并做好平台日常维护常态运营和应急突发事件响应。</w:t>
            </w:r>
          </w:p>
          <w:p>
            <w:pPr>
              <w:pStyle w:val="null3"/>
            </w:pPr>
            <w:r>
              <w:rPr>
                <w:rFonts w:ascii="仿宋_GB2312" w:hAnsi="仿宋_GB2312" w:cs="仿宋_GB2312" w:eastAsia="仿宋_GB2312"/>
              </w:rPr>
              <w:t>（九）证件及出入管理</w:t>
            </w:r>
          </w:p>
          <w:p>
            <w:pPr>
              <w:pStyle w:val="null3"/>
            </w:pPr>
            <w:r>
              <w:rPr>
                <w:rFonts w:ascii="仿宋_GB2312" w:hAnsi="仿宋_GB2312" w:cs="仿宋_GB2312" w:eastAsia="仿宋_GB2312"/>
              </w:rPr>
              <w:t>1.负责证件设计制作、管理及发放工作。</w:t>
            </w:r>
          </w:p>
          <w:p>
            <w:pPr>
              <w:pStyle w:val="null3"/>
            </w:pPr>
            <w:r>
              <w:rPr>
                <w:rFonts w:ascii="仿宋_GB2312" w:hAnsi="仿宋_GB2312" w:cs="仿宋_GB2312" w:eastAsia="仿宋_GB2312"/>
              </w:rPr>
              <w:t>2.门禁通道分类检验，分设普通观众通道、持证通道和贵宾通道，通道数量依据实际需求增减。</w:t>
            </w:r>
          </w:p>
          <w:p>
            <w:pPr>
              <w:pStyle w:val="null3"/>
            </w:pPr>
            <w:r>
              <w:rPr>
                <w:rFonts w:ascii="仿宋_GB2312" w:hAnsi="仿宋_GB2312" w:cs="仿宋_GB2312" w:eastAsia="仿宋_GB2312"/>
              </w:rPr>
              <w:t>（十）丝博创新服务</w:t>
            </w:r>
          </w:p>
          <w:p>
            <w:pPr>
              <w:pStyle w:val="null3"/>
            </w:pPr>
            <w:r>
              <w:rPr>
                <w:rFonts w:ascii="仿宋_GB2312" w:hAnsi="仿宋_GB2312" w:cs="仿宋_GB2312" w:eastAsia="仿宋_GB2312"/>
              </w:rPr>
              <w:t>1.策划并落地实施《第十届丝博会展城联动创新服务方案》，打造特色创新服务场景，组建专职服务团队，保障创新服务落地执行。</w:t>
            </w:r>
          </w:p>
          <w:p>
            <w:pPr>
              <w:pStyle w:val="null3"/>
            </w:pPr>
            <w:r>
              <w:rPr>
                <w:rFonts w:ascii="仿宋_GB2312" w:hAnsi="仿宋_GB2312" w:cs="仿宋_GB2312" w:eastAsia="仿宋_GB2312"/>
              </w:rPr>
              <w:t>2.围绕定向推送、内容运营、全域运维、赞助商权益落地开展工作，建立标准化管理机制，强化权益落地需求对接，接受采购人全程监督。</w:t>
            </w:r>
          </w:p>
          <w:p>
            <w:pPr>
              <w:pStyle w:val="null3"/>
            </w:pPr>
            <w:r>
              <w:rPr>
                <w:rFonts w:ascii="仿宋_GB2312" w:hAnsi="仿宋_GB2312" w:cs="仿宋_GB2312" w:eastAsia="仿宋_GB2312"/>
              </w:rPr>
              <w:t>（十一）统筹第十届丝博会招商招展及服务工作</w:t>
            </w:r>
          </w:p>
          <w:p>
            <w:pPr>
              <w:pStyle w:val="null3"/>
            </w:pPr>
            <w:r>
              <w:rPr>
                <w:rFonts w:ascii="仿宋_GB2312" w:hAnsi="仿宋_GB2312" w:cs="仿宋_GB2312" w:eastAsia="仿宋_GB2312"/>
              </w:rPr>
              <w:t>根据执委会要求，统筹第十届丝博会整体招商招展及服务工作。同时完成省际合作馆的招商招展工作。</w:t>
            </w:r>
          </w:p>
          <w:p>
            <w:pPr>
              <w:pStyle w:val="null3"/>
            </w:pPr>
            <w:r>
              <w:rPr>
                <w:rFonts w:ascii="仿宋_GB2312" w:hAnsi="仿宋_GB2312" w:cs="仿宋_GB2312" w:eastAsia="仿宋_GB2312"/>
              </w:rPr>
              <w:t>（十二）广告招商、品牌运营</w:t>
            </w:r>
          </w:p>
          <w:p>
            <w:pPr>
              <w:pStyle w:val="null3"/>
            </w:pPr>
            <w:r>
              <w:rPr>
                <w:rFonts w:ascii="仿宋_GB2312" w:hAnsi="仿宋_GB2312" w:cs="仿宋_GB2312" w:eastAsia="仿宋_GB2312"/>
              </w:rPr>
              <w:t>根据执委会要求，具体工作如下：</w:t>
            </w:r>
          </w:p>
          <w:p>
            <w:pPr>
              <w:pStyle w:val="null3"/>
            </w:pPr>
            <w:r>
              <w:rPr>
                <w:rFonts w:ascii="仿宋_GB2312" w:hAnsi="仿宋_GB2312" w:cs="仿宋_GB2312" w:eastAsia="仿宋_GB2312"/>
              </w:rPr>
              <w:t>1.市场化广告招商、产品冠名、赞助和指定用品的业务开发和落实；</w:t>
            </w:r>
          </w:p>
          <w:p>
            <w:pPr>
              <w:pStyle w:val="null3"/>
            </w:pPr>
            <w:r>
              <w:rPr>
                <w:rFonts w:ascii="仿宋_GB2312" w:hAnsi="仿宋_GB2312" w:cs="仿宋_GB2312" w:eastAsia="仿宋_GB2312"/>
              </w:rPr>
              <w:t>2.文创产品设计、制作；丝博会白皮书的设计、制作、印发。</w:t>
            </w:r>
          </w:p>
          <w:p>
            <w:pPr>
              <w:pStyle w:val="null3"/>
            </w:pPr>
            <w:r>
              <w:rPr>
                <w:rFonts w:ascii="仿宋_GB2312" w:hAnsi="仿宋_GB2312" w:cs="仿宋_GB2312" w:eastAsia="仿宋_GB2312"/>
              </w:rPr>
              <w:t>3.打造创新服务场景，聚焦客商邀约、企业推广，联动城市资源提升展会品牌影响力。</w:t>
            </w:r>
          </w:p>
          <w:p>
            <w:pPr>
              <w:pStyle w:val="null3"/>
            </w:pPr>
            <w:r>
              <w:rPr>
                <w:rFonts w:ascii="仿宋_GB2312" w:hAnsi="仿宋_GB2312" w:cs="仿宋_GB2312" w:eastAsia="仿宋_GB2312"/>
              </w:rPr>
              <w:t>五、应急预案</w:t>
            </w:r>
          </w:p>
          <w:p>
            <w:pPr>
              <w:pStyle w:val="null3"/>
            </w:pPr>
            <w:r>
              <w:rPr>
                <w:rFonts w:ascii="仿宋_GB2312" w:hAnsi="仿宋_GB2312" w:cs="仿宋_GB2312" w:eastAsia="仿宋_GB2312"/>
              </w:rPr>
              <w:t>提供突发事件及紧急事项应急预案及处置方案。</w:t>
            </w:r>
          </w:p>
          <w:p>
            <w:pPr>
              <w:pStyle w:val="null3"/>
            </w:pPr>
            <w:r>
              <w:rPr>
                <w:rFonts w:ascii="仿宋_GB2312" w:hAnsi="仿宋_GB2312" w:cs="仿宋_GB2312" w:eastAsia="仿宋_GB2312"/>
              </w:rPr>
              <w:t>六、方案审批要求</w:t>
            </w:r>
          </w:p>
          <w:p>
            <w:pPr>
              <w:pStyle w:val="null3"/>
            </w:pPr>
            <w:r>
              <w:rPr>
                <w:rFonts w:ascii="仿宋_GB2312" w:hAnsi="仿宋_GB2312" w:cs="仿宋_GB2312" w:eastAsia="仿宋_GB2312"/>
              </w:rPr>
              <w:t>各种方案需报采购人审核后实施。</w:t>
            </w:r>
          </w:p>
          <w:p>
            <w:pPr>
              <w:pStyle w:val="null3"/>
            </w:pPr>
            <w:r>
              <w:rPr>
                <w:rFonts w:ascii="仿宋_GB2312" w:hAnsi="仿宋_GB2312" w:cs="仿宋_GB2312" w:eastAsia="仿宋_GB2312"/>
              </w:rPr>
              <w:t>七、企业及服务团队要求</w:t>
            </w:r>
          </w:p>
          <w:p>
            <w:pPr>
              <w:pStyle w:val="null3"/>
            </w:pPr>
            <w:r>
              <w:rPr>
                <w:rFonts w:ascii="仿宋_GB2312" w:hAnsi="仿宋_GB2312" w:cs="仿宋_GB2312" w:eastAsia="仿宋_GB2312"/>
              </w:rPr>
              <w:t>投标人须有丰富的会展资源，具备一定的市场竞争力；投标人须有与项目执行相适应的专职会展团队；投标人须按照展会执行需求明确团队人员组成和分工，与采购方建立顺畅高效的对接沟通机制，全程负责整个项目的策划、推广、执行、管理和实施。</w:t>
            </w:r>
          </w:p>
          <w:p>
            <w:pPr>
              <w:pStyle w:val="null3"/>
            </w:pPr>
            <w:r>
              <w:rPr>
                <w:rFonts w:ascii="仿宋_GB2312" w:hAnsi="仿宋_GB2312" w:cs="仿宋_GB2312" w:eastAsia="仿宋_GB2312"/>
              </w:rPr>
              <w:t>八、项目总结</w:t>
            </w:r>
          </w:p>
          <w:p>
            <w:pPr>
              <w:pStyle w:val="null3"/>
            </w:pPr>
            <w:r>
              <w:rPr>
                <w:rFonts w:ascii="仿宋_GB2312" w:hAnsi="仿宋_GB2312" w:cs="仿宋_GB2312" w:eastAsia="仿宋_GB2312"/>
              </w:rPr>
              <w:t>投标人须提供项目准备、实施进度表等相关资料，对项目执行情况进行资料信息收集、整理、分析总结，于展会结束1个月内提交项目总结报告。</w:t>
            </w:r>
          </w:p>
          <w:p>
            <w:pPr>
              <w:pStyle w:val="null3"/>
            </w:pPr>
            <w:r>
              <w:rPr>
                <w:rFonts w:ascii="仿宋_GB2312" w:hAnsi="仿宋_GB2312" w:cs="仿宋_GB2312" w:eastAsia="仿宋_GB2312"/>
              </w:rPr>
              <w:t>九、保密及知识产权</w:t>
            </w:r>
          </w:p>
          <w:p>
            <w:pPr>
              <w:pStyle w:val="null3"/>
            </w:pPr>
            <w:r>
              <w:rPr>
                <w:rFonts w:ascii="仿宋_GB2312" w:hAnsi="仿宋_GB2312" w:cs="仿宋_GB2312" w:eastAsia="仿宋_GB2312"/>
              </w:rPr>
              <w:t>1.保密要求</w:t>
            </w:r>
          </w:p>
          <w:p>
            <w:pPr>
              <w:pStyle w:val="null3"/>
            </w:pPr>
            <w:r>
              <w:rPr>
                <w:rFonts w:ascii="仿宋_GB2312" w:hAnsi="仿宋_GB2312" w:cs="仿宋_GB2312" w:eastAsia="仿宋_GB2312"/>
              </w:rPr>
              <w:t>参与招标投标活动的各方应对招标文件和投标文件中的商业和技术等秘密保密，违者应对由此造成的后果承担法律责任。</w:t>
            </w:r>
          </w:p>
          <w:p>
            <w:pPr>
              <w:pStyle w:val="null3"/>
            </w:pPr>
            <w:r>
              <w:rPr>
                <w:rFonts w:ascii="仿宋_GB2312" w:hAnsi="仿宋_GB2312" w:cs="仿宋_GB2312" w:eastAsia="仿宋_GB2312"/>
              </w:rPr>
              <w:t>2.知识产权保护</w:t>
            </w:r>
          </w:p>
          <w:p>
            <w:pPr>
              <w:pStyle w:val="null3"/>
            </w:pPr>
            <w:r>
              <w:rPr>
                <w:rFonts w:ascii="仿宋_GB2312" w:hAnsi="仿宋_GB2312" w:cs="仿宋_GB2312" w:eastAsia="仿宋_GB2312"/>
              </w:rPr>
              <w:t>投标人须对其提供的方案、产品、技术和服务等拥有合法的占有、使用和处置权，并对涉及项目的所有内容可能的侵权行为指控负责，保证不损害采购人的利益。在法律范围内，如果出现文字、图片、商标和技术、商业秘密及其他侵权行为而造成的纠纷和产生的一切费用，采购人概不负责，均由投标人负责处理；由此给采购人造成损失的，投标人应承担相应后果，并负责赔偿。投标人为执行本项目合同而提供的技术资料归采购人所有。投标人应保证在中华人民共和国境内使用其提供的产品、技术、服务或其任何一部分时，不会产生因第三方提出侵犯其专利权、商标权或其他知识产权而引起的法律和经济纠纷。如投标人不拥有相应的知识产权，则在报价中必须包括合法获取该知识产权的相关费用。如采购人受到来自第三方的侵权诉讼或索赔时，则采购人将及时通知投标人，投标人应主动承担相应责任并尽力维护采购人声誉。</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提供满足本项目服务需求的人员配置</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提供满足本项目服务需求的设施设备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自合同签署之日起，至项目执行完毕</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详见最终签订合同。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验收合格之日起</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详见最终签订合同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证明文件：（1）投标人是企业（包括合伙企业)的，应提供其在市场监督管理部门注册的有效“营业执照”的复印件；（2）投标人是事业单位的，应提供其有效的“事业单位法人证书”复印件；（3）投标人是非企业专业服务机构的，应提供其有效的“执业许可证”复印件；（4）投标人是民办非企业单位的，应提供其有效的登记证书复印件；（5）投标人是个体工商户的，应提供其有效的“营业执照”复印件；（6）投标人是自然人的，应提供其有效的自然人身份证明复印件。2、提供可满足履行合同所需设备和专业技术能力的证明材料或承诺；3、提供投标截止时间前近六个月中至少一个月的纳税证明或完税证明，依法免税的单位应提供相关证明材料；时间以税款所属时期为准 4、提供投标截止时间前近六个月中至少一个月的社会保障资金缴存单据或社保机构开具的社会保险参保缴费情况证明，依法不需要缴纳社会保障资金的单位应提供相关证明材料。5、提供有效的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1）或提供（2）：（1）提供递交响应文件截止之日前两年内任意一个年度经审计的财务报告，应满足以下要求：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②投标人适用《事业单位会计准则》的，财务报告是指上述指定年度整个会计年度财务报表（不要求必须是经审计的），复印件至少须包括资产负债表、收入支出表（或收入费用表）、财政补助收入支出表。③投标人适用《政府会计准则》的，财务报告是指上述指定年度整个会计年度财务报表（不要求必须是经审计的），复印件至少须包括资产负债表、收入费用表。④投标人适用《民间非营利组织会计制度》的，财务报告是指上述指定年度整个会计年度财务报表（不要求必须是经审计的），复印件至少须包括资产负债表、业务活动表、现金流量表⑤投标人是上述四种情况以外情况的,按照其依法适用的会计制度、财务规则或会计准则提供财务报表复印件（不要求必须是经审计的）。（2）提供资信证明原件扫描件或复印件，应满足以下要求：①资信证明须为递交响应文件截止时间前三个月内由投标人开户银行出具。②无论开具银行是否标明“复印无效”，投标人提供的复印件在本次投标中予以认可（即不因“复印无效”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www.ccgp.gov.cn）上被列入失信被执行人、重大税收违法失信主体、政府采购严重违法失信行为信息记录名单的，不得参加投标。</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异常低价审查 1.评审中出现下列情形之一的，评标委员会应当启动异常低价投标审查程序： （1）投标报价低于全部通过符合性审查供应商投标报价平均值50%的，即投标报价&lt;全部通过符合性审查供应商投标报价平均值×50%；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报价×50%；（3）投标报价低于采购项目最高限价45%的，即投标报价&lt;采购项目最高限价×45%；（4）评标委员会基于专业判断，认为供应商报价过低，有可能影响产品质量或者不能诚信履约的其他情形。 相关法律法规对供应商报价有规定的，从其规定。 2.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投标人投标报价未超出采购预算或最高限价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投标内容不存在漏项或数量不符合招标文件规定情形，投标内容满足招标文件的商务、技术等实质性要求。不存在采购档次降低或影响采购性能、功能的情形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服务内容及服务邀请应答表 服务方案</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开标一览表 服务内容及服务邀请应答表 中小企业声明函 残疾人福利性单位声明函 商务应答表 服务方案 标的清单 监狱企业的证明文件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不存在其他不符合法律法规或招标文件规定的投标无效条款的情形</w:t>
            </w:r>
          </w:p>
        </w:tc>
        <w:tc>
          <w:tcPr>
            <w:tcW w:type="dxa" w:w="1661"/>
          </w:tcPr>
          <w:p>
            <w:pPr>
              <w:pStyle w:val="null3"/>
            </w:pPr>
            <w:r>
              <w:rPr>
                <w:rFonts w:ascii="仿宋_GB2312" w:hAnsi="仿宋_GB2312" w:cs="仿宋_GB2312" w:eastAsia="仿宋_GB2312"/>
              </w:rPr>
              <w:t>开标一览表 服务内容及服务邀请应答表 商务应答表 服务方案 标的清单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投标文件签字、盖章</w:t>
            </w:r>
          </w:p>
        </w:tc>
        <w:tc>
          <w:tcPr>
            <w:tcW w:type="dxa" w:w="3322"/>
          </w:tcPr>
          <w:p>
            <w:pPr>
              <w:pStyle w:val="null3"/>
            </w:pPr>
            <w:r>
              <w:rPr>
                <w:rFonts w:ascii="仿宋_GB2312" w:hAnsi="仿宋_GB2312" w:cs="仿宋_GB2312" w:eastAsia="仿宋_GB2312"/>
              </w:rPr>
              <w:t>投标文件按照招标文件要求签署、盖章</w:t>
            </w:r>
          </w:p>
        </w:tc>
        <w:tc>
          <w:tcPr>
            <w:tcW w:type="dxa" w:w="1661"/>
          </w:tcPr>
          <w:p>
            <w:pPr>
              <w:pStyle w:val="null3"/>
            </w:pPr>
            <w:r>
              <w:rPr>
                <w:rFonts w:ascii="仿宋_GB2312" w:hAnsi="仿宋_GB2312" w:cs="仿宋_GB2312" w:eastAsia="仿宋_GB2312"/>
              </w:rPr>
              <w:t>开标一览表 服务内容及服务邀请应答表 投标函 中小企业声明函 残疾人福利性单位声明函 商务应答表 服务方案 标的清单 投标文件封面 监狱企业的证明文件 投标人应提交的相关资格证明材料</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展区公共部分设计搭建方案</w:t>
            </w:r>
          </w:p>
        </w:tc>
        <w:tc>
          <w:tcPr>
            <w:tcW w:type="dxa" w:w="2492"/>
          </w:tcPr>
          <w:p>
            <w:pPr>
              <w:pStyle w:val="null3"/>
            </w:pPr>
            <w:r>
              <w:rPr>
                <w:rFonts w:ascii="仿宋_GB2312" w:hAnsi="仿宋_GB2312" w:cs="仿宋_GB2312" w:eastAsia="仿宋_GB2312"/>
              </w:rPr>
              <w:t>针对本项目提供展区公共部分设计搭建方案：（1）方案完整详细、描述清晰、内容科学合理、可实施性强的得6分；（2）方案较完整但简单、内容合理性及可实施性一般的得4分；（3）方案内容有缺失，影响到项目实施的得2分；（4）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开幕式方案</w:t>
            </w:r>
          </w:p>
        </w:tc>
        <w:tc>
          <w:tcPr>
            <w:tcW w:type="dxa" w:w="2492"/>
          </w:tcPr>
          <w:p>
            <w:pPr>
              <w:pStyle w:val="null3"/>
            </w:pPr>
            <w:r>
              <w:rPr>
                <w:rFonts w:ascii="仿宋_GB2312" w:hAnsi="仿宋_GB2312" w:cs="仿宋_GB2312" w:eastAsia="仿宋_GB2312"/>
              </w:rPr>
              <w:t>针对本项目提供开幕式方案： （1）方案完整详细、描述清晰、内容科学合理、可实施性强的得6分；（2）方案较完整但简单、内容合理性及可实施性一般的得4分；（3）方案内容有缺失，影响到项目实施的得2分；（4）未提供的不得分。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氛围营造方案</w:t>
            </w:r>
          </w:p>
        </w:tc>
        <w:tc>
          <w:tcPr>
            <w:tcW w:type="dxa" w:w="2492"/>
          </w:tcPr>
          <w:p>
            <w:pPr>
              <w:pStyle w:val="null3"/>
            </w:pPr>
            <w:r>
              <w:rPr>
                <w:rFonts w:ascii="仿宋_GB2312" w:hAnsi="仿宋_GB2312" w:cs="仿宋_GB2312" w:eastAsia="仿宋_GB2312"/>
              </w:rPr>
              <w:t>针对本项目内容提供氛围营造方案：（1）方案完整详细、描述清晰、内容科学合理、可实施性强的得6分；（2）方案较完整但简单、内容合理性及可实施性一般的得4分；（3）方案内容有缺失，影响到项目实施的得2分；（4）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现场服务方案</w:t>
            </w:r>
          </w:p>
        </w:tc>
        <w:tc>
          <w:tcPr>
            <w:tcW w:type="dxa" w:w="2492"/>
          </w:tcPr>
          <w:p>
            <w:pPr>
              <w:pStyle w:val="null3"/>
            </w:pPr>
            <w:r>
              <w:rPr>
                <w:rFonts w:ascii="仿宋_GB2312" w:hAnsi="仿宋_GB2312" w:cs="仿宋_GB2312" w:eastAsia="仿宋_GB2312"/>
              </w:rPr>
              <w:t>针对展会资源管理。充分统筹场地、市场、环境等因素，整合展会现场资源，做好资源运营服务等内容提供现场服务方案：（1）方案完整详细、描述清晰、内容科学合理、可实施性强的得5分；（2）方案较完整但简单、内容合理性及可实施性一般的得3分；（3）方案内容有缺失，影响到项目实施的得1分；（4）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综合保障方案</w:t>
            </w:r>
          </w:p>
        </w:tc>
        <w:tc>
          <w:tcPr>
            <w:tcW w:type="dxa" w:w="2492"/>
          </w:tcPr>
          <w:p>
            <w:pPr>
              <w:pStyle w:val="null3"/>
            </w:pPr>
            <w:r>
              <w:rPr>
                <w:rFonts w:ascii="仿宋_GB2312" w:hAnsi="仿宋_GB2312" w:cs="仿宋_GB2312" w:eastAsia="仿宋_GB2312"/>
              </w:rPr>
              <w:t>针对大会集中办公期间工作人员食宿、用车、会议室等使用；做好大会总值班室综合服务和文字材料起草服务工作等内容提供综合保障方案：（1）方案完整详细、描述清晰、内容科学合理、可实施性强的得5分；（2）方案较完整但简单、内容合理性及可实施性一般的得3分；（3）方案内容有缺失，影响到项目实施的得1分；（4）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展区安全管理方案</w:t>
            </w:r>
          </w:p>
        </w:tc>
        <w:tc>
          <w:tcPr>
            <w:tcW w:type="dxa" w:w="2492"/>
          </w:tcPr>
          <w:p>
            <w:pPr>
              <w:pStyle w:val="null3"/>
            </w:pPr>
            <w:r>
              <w:rPr>
                <w:rFonts w:ascii="仿宋_GB2312" w:hAnsi="仿宋_GB2312" w:cs="仿宋_GB2312" w:eastAsia="仿宋_GB2312"/>
              </w:rPr>
              <w:t>针对各展区安全工作、购买大会保险、现场安保服等内容提供展区安全管理方案：（1）方案完整详细、描述清晰、内容科学合理、可实施性强的得5分；（2）方案较完整但简单、内容合理性及可实施性一般的得3分；（3）方案内容有缺失，影响到项目实施的得1分；（4）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专业观众组织方案</w:t>
            </w:r>
          </w:p>
        </w:tc>
        <w:tc>
          <w:tcPr>
            <w:tcW w:type="dxa" w:w="2492"/>
          </w:tcPr>
          <w:p>
            <w:pPr>
              <w:pStyle w:val="null3"/>
            </w:pPr>
            <w:r>
              <w:rPr>
                <w:rFonts w:ascii="仿宋_GB2312" w:hAnsi="仿宋_GB2312" w:cs="仿宋_GB2312" w:eastAsia="仿宋_GB2312"/>
              </w:rPr>
              <w:t>针对大会展览展示内容组织相关专业观众提供专业观众组织方案：（1）方案完整详细、描述清晰、内容科学合理、可实施性强的得5分；（2）方案较完整但简单、内容合理性及可实施性一般的得3分；（3）方案内容有缺失，影响到项目实施的得1分；（4）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线上丝博会平台运营方案</w:t>
            </w:r>
          </w:p>
        </w:tc>
        <w:tc>
          <w:tcPr>
            <w:tcW w:type="dxa" w:w="2492"/>
          </w:tcPr>
          <w:p>
            <w:pPr>
              <w:pStyle w:val="null3"/>
            </w:pPr>
            <w:r>
              <w:rPr>
                <w:rFonts w:ascii="仿宋_GB2312" w:hAnsi="仿宋_GB2312" w:cs="仿宋_GB2312" w:eastAsia="仿宋_GB2312"/>
              </w:rPr>
              <w:t>针对本项目提供线上展会运维方案，包括①“线上丝博会平台”运行维护，网站、微信公众号运营维护、功能升级和信息发布②现场信息系统光纤接入③丝博创新服务；每项满分3分，缺项不得分，每项内容存在一处缺陷扣1分。 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证件管理方案</w:t>
            </w:r>
          </w:p>
        </w:tc>
        <w:tc>
          <w:tcPr>
            <w:tcW w:type="dxa" w:w="2492"/>
          </w:tcPr>
          <w:p>
            <w:pPr>
              <w:pStyle w:val="null3"/>
            </w:pPr>
            <w:r>
              <w:rPr>
                <w:rFonts w:ascii="仿宋_GB2312" w:hAnsi="仿宋_GB2312" w:cs="仿宋_GB2312" w:eastAsia="仿宋_GB2312"/>
              </w:rPr>
              <w:t>针对本项目的证件设计制作、管理及发放工作及门禁通道分类检验等：（1）方案完整详细、描述清晰、内容科学合理、可实施性强的得5分；（2）方案较完整但简单、内容合理性及可实施性一般的得3分；（3）方案内容有缺失，影响到项目实施的得1分；（4）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广告招商、品牌运营方案</w:t>
            </w:r>
          </w:p>
        </w:tc>
        <w:tc>
          <w:tcPr>
            <w:tcW w:type="dxa" w:w="2492"/>
          </w:tcPr>
          <w:p>
            <w:pPr>
              <w:pStyle w:val="null3"/>
            </w:pPr>
            <w:r>
              <w:rPr>
                <w:rFonts w:ascii="仿宋_GB2312" w:hAnsi="仿宋_GB2312" w:cs="仿宋_GB2312" w:eastAsia="仿宋_GB2312"/>
              </w:rPr>
              <w:t>针对本项目采购需求制定广告招商及品牌运营提出合理方案：（1）方案完整详细、描述清晰、内容科学合理、可实施性强的得5分；（2）方案较完整但简单、内容合理性及可实施性一般的得3分；（3）方案内容有缺失，影响到项目实施的得1分；（4）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统筹第十届丝博会招商招展及服务方案</w:t>
            </w:r>
          </w:p>
        </w:tc>
        <w:tc>
          <w:tcPr>
            <w:tcW w:type="dxa" w:w="2492"/>
          </w:tcPr>
          <w:p>
            <w:pPr>
              <w:pStyle w:val="null3"/>
            </w:pPr>
            <w:r>
              <w:rPr>
                <w:rFonts w:ascii="仿宋_GB2312" w:hAnsi="仿宋_GB2312" w:cs="仿宋_GB2312" w:eastAsia="仿宋_GB2312"/>
              </w:rPr>
              <w:t>针对本项目采购需求制定统筹第十届丝博会招商招展及服务工作方案：（1）方案完整详细、描述清晰、内容科学合理、可实施性强的得5分；（2）方案较完整但简单、内容合理性及可实施性一般的得3分；（3）方案内容有缺失，影响到项目实施的得1分；（4）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本项目的安全措施，保证活动顺利进行。提供突发事件及紧急事项应急预案及处置方案。包括①安全管理制度；②安全隐患排查；③应急预案、医疗救援及突发事件应急保障措施。方案内容详细完整、针对性强、可行性高，符合项目实际要求。每项满分2分，缺项不得分，每项内容存在一处缺陷扣0.5分。 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针对本项目人员配备，包括①团队组织人员配置明细；②团队人员管理制度；③各专业种类、岗位配置；④配置人员资格、职称及工作经验。每项满分2分，缺项不得分，每项内容存在一处缺陷扣0.5分。 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针对本项目的保密方案：（1）方案完整详细、描述清晰、内容科学合理、可实施性强的得4分；（2）方案较完整但简单、内容合理性及可实施性一般的得3分；（3）方案内容有缺失，影响到项目实施的得1分；（4）未提供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投标人提供2023年1月1日至今同类项目合同(以合同签订日期为准)，每提供1个得2分，最高得10分。 注：须提供相关项目合同关键页（包含签订合同双方的单位名称、项目名称、项目内容、双方签字盖章页及合同 签订日期等）复印件，否则不得分。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满足招标文件要求且投标价格最低的报价为评标基准价，其价格分为满分。其他供应商的价格分统一按照下列公式计算：价格分=(评标基准价／招标报价)×10注：计算分数时四舍五入取小数点后两位。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