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版本号：GR26-CS-01320260419001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全国防灾减灾日陕西分会场现场活动服务采购项目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GR26-CS-013</w:t>
      </w:r>
      <w:r>
        <w:br/>
      </w:r>
      <w:r>
        <w:br/>
      </w:r>
      <w:r>
        <w:br/>
      </w:r>
    </w:p>
    <w:p>
      <w:pPr>
        <w:pStyle w:val="null3"/>
        <w:jc w:val="center"/>
        <w:outlineLvl w:val="2"/>
      </w:pPr>
      <w:r>
        <w:rPr>
          <w:rFonts w:ascii="仿宋_GB2312" w:hAnsi="仿宋_GB2312" w:cs="仿宋_GB2312" w:eastAsia="仿宋_GB2312"/>
          <w:sz w:val="28"/>
          <w:b/>
        </w:rPr>
        <w:t>陕西省减灾救灾中心</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陕西省减灾救灾中心</w:t>
      </w:r>
      <w:r>
        <w:rPr>
          <w:rFonts w:ascii="仿宋_GB2312" w:hAnsi="仿宋_GB2312" w:cs="仿宋_GB2312" w:eastAsia="仿宋_GB2312"/>
        </w:rPr>
        <w:t>委托，拟对</w:t>
      </w:r>
      <w:r>
        <w:rPr>
          <w:rFonts w:ascii="仿宋_GB2312" w:hAnsi="仿宋_GB2312" w:cs="仿宋_GB2312" w:eastAsia="仿宋_GB2312"/>
        </w:rPr>
        <w:t>全国防灾减灾日陕西分会场现场活动服务采购项目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全国防灾减灾日陕西分会场现场活动服务采购项目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本项目为陕西省减灾救灾中心全国防灾减灾日陕西分会场现场活动服务采购项目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采购包1（全国防灾减灾日陕西分会场现场活动服务采购项目）：属于专门面向小微企业采购。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陕西省减灾救灾中心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陕西省减灾救灾中心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采购包1：245,545.00元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代理服务费收费标准：本项目采购代理服务费以采购项目的成交金额作为收费基数，按照国家计委（计价格【2002】1980号）《招标代理服务收费管理暂行办法》规定的服务类收费标准收取，不足5000按5000收取。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陕西省减灾救灾中心</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陕西省减灾救灾中心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陕西省减灾救灾中心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本项目为陕西省减灾救灾中心全国防灾减灾日陕西分会场现场活动服务采购项目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245,545.00</w:t>
      </w:r>
    </w:p>
    <w:p>
      <w:pPr>
        <w:pStyle w:val="null3"/>
      </w:pPr>
      <w:r>
        <w:rPr>
          <w:rFonts w:ascii="仿宋_GB2312" w:hAnsi="仿宋_GB2312" w:cs="仿宋_GB2312" w:eastAsia="仿宋_GB2312"/>
        </w:rPr>
        <w:t>采购包最高限价（元）: 245,545.00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防灾减灾日活动现场服务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245,545.00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标的名称：防灾减灾日活动现场服务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316"/>
              <w:gridCol w:w="547"/>
              <w:gridCol w:w="1465"/>
              <w:gridCol w:w="352"/>
              <w:gridCol w:w="30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区域</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r>
                    <w:rPr>
                      <w:rFonts w:ascii="仿宋_GB2312" w:hAnsi="仿宋_GB2312" w:cs="仿宋_GB2312" w:eastAsia="仿宋_GB2312"/>
                      <w:sz w:val="21"/>
                      <w:b/>
                    </w:rPr>
                    <w:t>/</w:t>
                  </w:r>
                  <w:r>
                    <w:rPr>
                      <w:rFonts w:ascii="仿宋_GB2312" w:hAnsi="仿宋_GB2312" w:cs="仿宋_GB2312" w:eastAsia="仿宋_GB2312"/>
                      <w:sz w:val="21"/>
                      <w:b/>
                    </w:rPr>
                    <w:t>尺寸</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活动现场</w:t>
                  </w:r>
                  <w:r>
                    <w:br/>
                  </w:r>
                  <w:r>
                    <w:rPr>
                      <w:rFonts w:ascii="仿宋_GB2312" w:hAnsi="仿宋_GB2312" w:cs="仿宋_GB2312" w:eastAsia="仿宋_GB2312"/>
                      <w:sz w:val="21"/>
                    </w:rPr>
                    <w:t>搭建布置</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主背景搭建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不锈钢方管桁架，</w:t>
                  </w:r>
                  <w:r>
                    <w:rPr>
                      <w:rFonts w:ascii="仿宋_GB2312" w:hAnsi="仿宋_GB2312" w:cs="仿宋_GB2312" w:eastAsia="仿宋_GB2312"/>
                      <w:sz w:val="21"/>
                    </w:rPr>
                    <w:t>20x4.5xU1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高清黑胶全彩喷绘画面，</w:t>
                  </w:r>
                  <w:r>
                    <w:rPr>
                      <w:rFonts w:ascii="仿宋_GB2312" w:hAnsi="仿宋_GB2312" w:cs="仿宋_GB2312" w:eastAsia="仿宋_GB2312"/>
                      <w:sz w:val="21"/>
                    </w:rPr>
                    <w:t>22.5x4.7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105.75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雷亚背架配重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主舞台搭建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户外雷亚舞台，</w:t>
                  </w:r>
                  <w:r>
                    <w:rPr>
                      <w:rFonts w:ascii="仿宋_GB2312" w:hAnsi="仿宋_GB2312" w:cs="仿宋_GB2312" w:eastAsia="仿宋_GB2312"/>
                      <w:sz w:val="21"/>
                    </w:rPr>
                    <w:t>20x5xH0.6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户外拉绒加厚阻燃地毯，色系随主</w:t>
                  </w:r>
                  <w:r>
                    <w:rPr>
                      <w:rFonts w:ascii="仿宋_GB2312" w:hAnsi="仿宋_GB2312" w:cs="仿宋_GB2312" w:eastAsia="仿宋_GB2312"/>
                      <w:sz w:val="21"/>
                    </w:rPr>
                    <w:t>K</w:t>
                  </w:r>
                  <w:r>
                    <w:rPr>
                      <w:rFonts w:ascii="仿宋_GB2312" w:hAnsi="仿宋_GB2312" w:cs="仿宋_GB2312" w:eastAsia="仿宋_GB2312"/>
                      <w:sz w:val="21"/>
                    </w:rPr>
                    <w:t>设计</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台前两侧踏步，双阶，宽</w:t>
                  </w:r>
                  <w:r>
                    <w:rPr>
                      <w:rFonts w:ascii="仿宋_GB2312" w:hAnsi="仿宋_GB2312" w:cs="仿宋_GB2312" w:eastAsia="仿宋_GB2312"/>
                      <w:sz w:val="21"/>
                    </w:rPr>
                    <w:t>4</w:t>
                  </w:r>
                  <w:r>
                    <w:rPr>
                      <w:rFonts w:ascii="仿宋_GB2312" w:hAnsi="仿宋_GB2312" w:cs="仿宋_GB2312" w:eastAsia="仿宋_GB2312"/>
                      <w:sz w:val="21"/>
                    </w:rPr>
                    <w:t>米，全新地毯全包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舞台前置斜台围挡及画面</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木质发言台</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发言台定制三面全围挡</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舞台两侧沙盒道旗，五米高</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音响设备</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多功能音响调音控台</w:t>
                  </w:r>
                  <w:r>
                    <w:rPr>
                      <w:rFonts w:ascii="仿宋_GB2312" w:hAnsi="仿宋_GB2312" w:cs="仿宋_GB2312" w:eastAsia="仿宋_GB2312"/>
                      <w:sz w:val="21"/>
                    </w:rPr>
                    <w:t>+DJ</w:t>
                  </w:r>
                  <w:r>
                    <w:rPr>
                      <w:rFonts w:ascii="仿宋_GB2312" w:hAnsi="仿宋_GB2312" w:cs="仿宋_GB2312" w:eastAsia="仿宋_GB2312"/>
                      <w:sz w:val="21"/>
                    </w:rPr>
                    <w:t>人员</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线阵主扩全频音响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返听音箱组</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无线信号增强</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麦克风线路频率通道增加</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无线手持麦克风、麦标、手卡</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无线双通道鹅颈麦</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音响线缆、压线板</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w:t>
                  </w:r>
                  <w:r>
                    <w:rPr>
                      <w:rFonts w:ascii="仿宋_GB2312" w:hAnsi="仿宋_GB2312" w:cs="仿宋_GB2312" w:eastAsia="仿宋_GB2312"/>
                      <w:sz w:val="21"/>
                    </w:rPr>
                    <w:t>大屏</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户外高清</w:t>
                  </w:r>
                  <w:r>
                    <w:rPr>
                      <w:rFonts w:ascii="仿宋_GB2312" w:hAnsi="仿宋_GB2312" w:cs="仿宋_GB2312" w:eastAsia="仿宋_GB2312"/>
                      <w:sz w:val="21"/>
                    </w:rPr>
                    <w:t>P3LED</w:t>
                  </w:r>
                  <w:r>
                    <w:rPr>
                      <w:rFonts w:ascii="仿宋_GB2312" w:hAnsi="仿宋_GB2312" w:cs="仿宋_GB2312" w:eastAsia="仿宋_GB2312"/>
                      <w:sz w:val="21"/>
                    </w:rPr>
                    <w:t>大屏，</w:t>
                  </w:r>
                  <w:r>
                    <w:rPr>
                      <w:rFonts w:ascii="仿宋_GB2312" w:hAnsi="仿宋_GB2312" w:cs="仿宋_GB2312" w:eastAsia="仿宋_GB2312"/>
                      <w:sz w:val="21"/>
                    </w:rPr>
                    <w:t>4x8x2</w:t>
                  </w:r>
                  <w:r>
                    <w:rPr>
                      <w:rFonts w:ascii="仿宋_GB2312" w:hAnsi="仿宋_GB2312" w:cs="仿宋_GB2312" w:eastAsia="仿宋_GB2312"/>
                      <w:sz w:val="21"/>
                    </w:rPr>
                    <w:t>套</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雷亚背架配重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大屏分屏及内容操作控台</w:t>
                  </w:r>
                  <w:r>
                    <w:rPr>
                      <w:rFonts w:ascii="仿宋_GB2312" w:hAnsi="仿宋_GB2312" w:cs="仿宋_GB2312" w:eastAsia="仿宋_GB2312"/>
                      <w:sz w:val="21"/>
                    </w:rPr>
                    <w:t>+VJ</w:t>
                  </w:r>
                  <w:r>
                    <w:rPr>
                      <w:rFonts w:ascii="仿宋_GB2312" w:hAnsi="仿宋_GB2312" w:cs="仿宋_GB2312" w:eastAsia="仿宋_GB2312"/>
                      <w:sz w:val="21"/>
                    </w:rPr>
                    <w:t>人员</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大屏下方围挡画面</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背架黑色丝绒布</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大屏线缆、压线板</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静音配电车及雨天防雨应急</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控台区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控台围挡搭建</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控台工作帐篷</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控台桌椅</w:t>
                  </w:r>
                  <w:r>
                    <w:rPr>
                      <w:rFonts w:ascii="仿宋_GB2312" w:hAnsi="仿宋_GB2312" w:cs="仿宋_GB2312" w:eastAsia="仿宋_GB2312"/>
                      <w:sz w:val="21"/>
                    </w:rPr>
                    <w:t>-</w:t>
                  </w:r>
                  <w:r>
                    <w:rPr>
                      <w:rFonts w:ascii="仿宋_GB2312" w:hAnsi="仿宋_GB2312" w:cs="仿宋_GB2312" w:eastAsia="仿宋_GB2312"/>
                      <w:sz w:val="21"/>
                    </w:rPr>
                    <w:t>一桌两椅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控台区打印机租赁使用</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其他区域</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签到区：</w:t>
                  </w:r>
                  <w:r>
                    <w:rPr>
                      <w:rFonts w:ascii="仿宋_GB2312" w:hAnsi="仿宋_GB2312" w:cs="仿宋_GB2312" w:eastAsia="仿宋_GB2312"/>
                      <w:sz w:val="21"/>
                    </w:rPr>
                    <w:t>4x8xU1</w:t>
                  </w:r>
                  <w:r>
                    <w:rPr>
                      <w:rFonts w:ascii="仿宋_GB2312" w:hAnsi="仿宋_GB2312" w:cs="仿宋_GB2312" w:eastAsia="仿宋_GB2312"/>
                      <w:sz w:val="21"/>
                    </w:rPr>
                    <w:t>，不锈钢方管桁架</w:t>
                  </w:r>
                  <w:r>
                    <w:rPr>
                      <w:rFonts w:ascii="仿宋_GB2312" w:hAnsi="仿宋_GB2312" w:cs="仿宋_GB2312" w:eastAsia="仿宋_GB2312"/>
                      <w:sz w:val="21"/>
                    </w:rPr>
                    <w:t>+</w:t>
                  </w:r>
                  <w:r>
                    <w:rPr>
                      <w:rFonts w:ascii="仿宋_GB2312" w:hAnsi="仿宋_GB2312" w:cs="仿宋_GB2312" w:eastAsia="仿宋_GB2312"/>
                      <w:sz w:val="21"/>
                    </w:rPr>
                    <w:t>高清黑胶全彩喷绘画面</w:t>
                  </w:r>
                  <w:r>
                    <w:rPr>
                      <w:rFonts w:ascii="仿宋_GB2312" w:hAnsi="仿宋_GB2312" w:cs="仿宋_GB2312" w:eastAsia="仿宋_GB2312"/>
                      <w:sz w:val="21"/>
                    </w:rPr>
                    <w:t>+</w:t>
                  </w:r>
                  <w:r>
                    <w:rPr>
                      <w:rFonts w:ascii="仿宋_GB2312" w:hAnsi="仿宋_GB2312" w:cs="仿宋_GB2312" w:eastAsia="仿宋_GB2312"/>
                      <w:sz w:val="21"/>
                    </w:rPr>
                    <w:t>配重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家庭应急品展示区：</w:t>
                  </w:r>
                  <w:r>
                    <w:rPr>
                      <w:rFonts w:ascii="仿宋_GB2312" w:hAnsi="仿宋_GB2312" w:cs="仿宋_GB2312" w:eastAsia="仿宋_GB2312"/>
                      <w:sz w:val="21"/>
                    </w:rPr>
                    <w:t>4x8xU1</w:t>
                  </w:r>
                  <w:r>
                    <w:rPr>
                      <w:rFonts w:ascii="仿宋_GB2312" w:hAnsi="仿宋_GB2312" w:cs="仿宋_GB2312" w:eastAsia="仿宋_GB2312"/>
                      <w:sz w:val="21"/>
                    </w:rPr>
                    <w:t>，不锈钢方管桁架</w:t>
                  </w:r>
                  <w:r>
                    <w:rPr>
                      <w:rFonts w:ascii="仿宋_GB2312" w:hAnsi="仿宋_GB2312" w:cs="仿宋_GB2312" w:eastAsia="仿宋_GB2312"/>
                      <w:sz w:val="21"/>
                    </w:rPr>
                    <w:t>+</w:t>
                  </w:r>
                  <w:r>
                    <w:rPr>
                      <w:rFonts w:ascii="仿宋_GB2312" w:hAnsi="仿宋_GB2312" w:cs="仿宋_GB2312" w:eastAsia="仿宋_GB2312"/>
                      <w:sz w:val="21"/>
                    </w:rPr>
                    <w:t>高清黑胶全彩喷绘画面</w:t>
                  </w:r>
                  <w:r>
                    <w:rPr>
                      <w:rFonts w:ascii="仿宋_GB2312" w:hAnsi="仿宋_GB2312" w:cs="仿宋_GB2312" w:eastAsia="仿宋_GB2312"/>
                      <w:sz w:val="21"/>
                    </w:rPr>
                    <w:t>+</w:t>
                  </w:r>
                  <w:r>
                    <w:rPr>
                      <w:rFonts w:ascii="仿宋_GB2312" w:hAnsi="仿宋_GB2312" w:cs="仿宋_GB2312" w:eastAsia="仿宋_GB2312"/>
                      <w:sz w:val="21"/>
                    </w:rPr>
                    <w:t>木质背板</w:t>
                  </w:r>
                  <w:r>
                    <w:rPr>
                      <w:rFonts w:ascii="仿宋_GB2312" w:hAnsi="仿宋_GB2312" w:cs="仿宋_GB2312" w:eastAsia="仿宋_GB2312"/>
                      <w:sz w:val="21"/>
                    </w:rPr>
                    <w:t>+</w:t>
                  </w:r>
                  <w:r>
                    <w:rPr>
                      <w:rFonts w:ascii="仿宋_GB2312" w:hAnsi="仿宋_GB2312" w:cs="仿宋_GB2312" w:eastAsia="仿宋_GB2312"/>
                      <w:sz w:val="21"/>
                    </w:rPr>
                    <w:t>配重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家庭应急品采购</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主题打卡区：</w:t>
                  </w:r>
                  <w:r>
                    <w:rPr>
                      <w:rFonts w:ascii="仿宋_GB2312" w:hAnsi="仿宋_GB2312" w:cs="仿宋_GB2312" w:eastAsia="仿宋_GB2312"/>
                      <w:sz w:val="21"/>
                    </w:rPr>
                    <w:t>4x8</w:t>
                  </w:r>
                  <w:r>
                    <w:rPr>
                      <w:rFonts w:ascii="仿宋_GB2312" w:hAnsi="仿宋_GB2312" w:cs="仿宋_GB2312" w:eastAsia="仿宋_GB2312"/>
                      <w:sz w:val="21"/>
                    </w:rPr>
                    <w:t>，不锈钢方管桁架</w:t>
                  </w:r>
                  <w:r>
                    <w:rPr>
                      <w:rFonts w:ascii="仿宋_GB2312" w:hAnsi="仿宋_GB2312" w:cs="仿宋_GB2312" w:eastAsia="仿宋_GB2312"/>
                      <w:sz w:val="21"/>
                    </w:rPr>
                    <w:t>+</w:t>
                  </w:r>
                  <w:r>
                    <w:rPr>
                      <w:rFonts w:ascii="仿宋_GB2312" w:hAnsi="仿宋_GB2312" w:cs="仿宋_GB2312" w:eastAsia="仿宋_GB2312"/>
                      <w:sz w:val="21"/>
                    </w:rPr>
                    <w:t>高清全彩超卡异形画面</w:t>
                  </w:r>
                  <w:r>
                    <w:rPr>
                      <w:rFonts w:ascii="仿宋_GB2312" w:hAnsi="仿宋_GB2312" w:cs="仿宋_GB2312" w:eastAsia="仿宋_GB2312"/>
                      <w:sz w:val="21"/>
                    </w:rPr>
                    <w:t>+</w:t>
                  </w:r>
                  <w:r>
                    <w:rPr>
                      <w:rFonts w:ascii="仿宋_GB2312" w:hAnsi="仿宋_GB2312" w:cs="仿宋_GB2312" w:eastAsia="仿宋_GB2312"/>
                      <w:sz w:val="21"/>
                    </w:rPr>
                    <w:t>配重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主题宣传展区：</w:t>
                  </w:r>
                  <w:r>
                    <w:rPr>
                      <w:rFonts w:ascii="仿宋_GB2312" w:hAnsi="仿宋_GB2312" w:cs="仿宋_GB2312" w:eastAsia="仿宋_GB2312"/>
                      <w:sz w:val="21"/>
                    </w:rPr>
                    <w:t>4x8xU1</w:t>
                  </w:r>
                  <w:r>
                    <w:rPr>
                      <w:rFonts w:ascii="仿宋_GB2312" w:hAnsi="仿宋_GB2312" w:cs="仿宋_GB2312" w:eastAsia="仿宋_GB2312"/>
                      <w:sz w:val="21"/>
                    </w:rPr>
                    <w:t>，不锈钢方管桁架</w:t>
                  </w:r>
                  <w:r>
                    <w:rPr>
                      <w:rFonts w:ascii="仿宋_GB2312" w:hAnsi="仿宋_GB2312" w:cs="仿宋_GB2312" w:eastAsia="仿宋_GB2312"/>
                      <w:sz w:val="21"/>
                    </w:rPr>
                    <w:t>+</w:t>
                  </w:r>
                  <w:r>
                    <w:rPr>
                      <w:rFonts w:ascii="仿宋_GB2312" w:hAnsi="仿宋_GB2312" w:cs="仿宋_GB2312" w:eastAsia="仿宋_GB2312"/>
                      <w:sz w:val="21"/>
                    </w:rPr>
                    <w:t>高清黑胶全彩喷绘画面</w:t>
                  </w:r>
                  <w:r>
                    <w:rPr>
                      <w:rFonts w:ascii="仿宋_GB2312" w:hAnsi="仿宋_GB2312" w:cs="仿宋_GB2312" w:eastAsia="仿宋_GB2312"/>
                      <w:sz w:val="21"/>
                    </w:rPr>
                    <w:t>+</w:t>
                  </w:r>
                  <w:r>
                    <w:rPr>
                      <w:rFonts w:ascii="仿宋_GB2312" w:hAnsi="仿宋_GB2312" w:cs="仿宋_GB2312" w:eastAsia="仿宋_GB2312"/>
                      <w:sz w:val="21"/>
                    </w:rPr>
                    <w:t>配重</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主题宣传</w:t>
                  </w:r>
                  <w:r>
                    <w:rPr>
                      <w:rFonts w:ascii="仿宋_GB2312" w:hAnsi="仿宋_GB2312" w:cs="仿宋_GB2312" w:eastAsia="仿宋_GB2312"/>
                      <w:sz w:val="21"/>
                    </w:rPr>
                    <w:t>A</w:t>
                  </w:r>
                  <w:r>
                    <w:rPr>
                      <w:rFonts w:ascii="仿宋_GB2312" w:hAnsi="仿宋_GB2312" w:cs="仿宋_GB2312" w:eastAsia="仿宋_GB2312"/>
                      <w:sz w:val="21"/>
                    </w:rPr>
                    <w:t>字展板、列队地贴</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其他设备</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无线同传设备</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三合一无线光纤信号传输设备</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急救体验区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地贴、围挡、丽屏架、</w:t>
                  </w:r>
                  <w:r>
                    <w:rPr>
                      <w:rFonts w:ascii="仿宋_GB2312" w:hAnsi="仿宋_GB2312" w:cs="仿宋_GB2312" w:eastAsia="仿宋_GB2312"/>
                      <w:sz w:val="21"/>
                    </w:rPr>
                    <w:t>A</w:t>
                  </w:r>
                  <w:r>
                    <w:rPr>
                      <w:rFonts w:ascii="仿宋_GB2312" w:hAnsi="仿宋_GB2312" w:cs="仿宋_GB2312" w:eastAsia="仿宋_GB2312"/>
                      <w:sz w:val="21"/>
                    </w:rPr>
                    <w:t>字展板、桌椅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消防龙带体验区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地贴、围挡、丽屏架、锥形桶、消防龙带</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火场逃生体验区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火灾逃生屋、防火应急装备消耗、丽屏架</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VR</w:t>
                  </w:r>
                  <w:r>
                    <w:rPr>
                      <w:rFonts w:ascii="仿宋_GB2312" w:hAnsi="仿宋_GB2312" w:cs="仿宋_GB2312" w:eastAsia="仿宋_GB2312"/>
                      <w:sz w:val="21"/>
                    </w:rPr>
                    <w:t>震感等级体验区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VR</w:t>
                  </w:r>
                  <w:r>
                    <w:rPr>
                      <w:rFonts w:ascii="仿宋_GB2312" w:hAnsi="仿宋_GB2312" w:cs="仿宋_GB2312" w:eastAsia="仿宋_GB2312"/>
                      <w:sz w:val="21"/>
                    </w:rPr>
                    <w:t>设备租赁、丽屏架、地贴、围挡</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宣传展位</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帐篷</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3x3</w:t>
                  </w:r>
                  <w:r>
                    <w:rPr>
                      <w:rFonts w:ascii="仿宋_GB2312" w:hAnsi="仿宋_GB2312" w:cs="仿宋_GB2312" w:eastAsia="仿宋_GB2312"/>
                      <w:sz w:val="21"/>
                    </w:rPr>
                    <w:t>帐篷、正面横幅、沙袋配重、电源使用</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展位桌椅</w:t>
                  </w:r>
                  <w:r>
                    <w:rPr>
                      <w:rFonts w:ascii="仿宋_GB2312" w:hAnsi="仿宋_GB2312" w:cs="仿宋_GB2312" w:eastAsia="仿宋_GB2312"/>
                      <w:sz w:val="21"/>
                    </w:rPr>
                    <w:t>-</w:t>
                  </w:r>
                  <w:r>
                    <w:rPr>
                      <w:rFonts w:ascii="仿宋_GB2312" w:hAnsi="仿宋_GB2312" w:cs="仿宋_GB2312" w:eastAsia="仿宋_GB2312"/>
                      <w:sz w:val="21"/>
                    </w:rPr>
                    <w:t>两桌四椅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区域标识</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立屏展架</w:t>
                  </w:r>
                  <w:r>
                    <w:rPr>
                      <w:rFonts w:ascii="仿宋_GB2312" w:hAnsi="仿宋_GB2312" w:cs="仿宋_GB2312" w:eastAsia="仿宋_GB2312"/>
                      <w:sz w:val="21"/>
                    </w:rPr>
                    <w:t>+</w:t>
                  </w:r>
                  <w:r>
                    <w:rPr>
                      <w:rFonts w:ascii="仿宋_GB2312" w:hAnsi="仿宋_GB2312" w:cs="仿宋_GB2312" w:eastAsia="仿宋_GB2312"/>
                      <w:sz w:val="21"/>
                    </w:rPr>
                    <w:t>超卡画面、指引水牌</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宣传物料</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宣传资料</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单页</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折页</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份</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应急自救手册</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16"/>
                  <w:vMerge/>
                  <w:tcBorders>
                    <w:top w:val="none" w:color="000000" w:sz="4"/>
                    <w:left w:val="none" w:color="000000" w:sz="4"/>
                    <w:bottom w:val="single" w:color="000000" w:sz="4"/>
                    <w:right w:val="single" w:color="000000" w:sz="4"/>
                  </w:tcBorders>
                </w:tcP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宣传物品</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应急手电</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定制雨伞</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定制水杯</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定制帆布袋</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应急保温毯</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份</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订制冰箱贴</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份</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16"/>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灭火毯</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份</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其他保障</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物料运输</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场地恢复保洁</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16"/>
                  <w:vMerge/>
                  <w:tcBorders>
                    <w:top w:val="none" w:color="000000" w:sz="4"/>
                    <w:left w:val="non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垃圾清运</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能够满足本项目需求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能够满足本项目需求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能够满足本项目需求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项目结束完成验收后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分项报价表.docx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针对本项目提供对项目的理解，内容包括但不限于项目背景及意义的理解，项目重点难点分析及应对措施。内容详细完整、针对性强、可行性高，符合项目实际要求计(16-20]分；内容较为详细，描述准确，涵盖大部分相关内容计(12-16]分；内容提供了一些概述，但描述不全面或者不够准确计(8-12]分；提供的概述很少，或者存在明显错误计(4-8]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详细的实施方案，符合本项目的特点，方案内容完整、规范、科学、合理、安全等，且能针对本项目的特点计(16-20]分；方案合理完善，可实施性较强计(12-16]分；有服务方案，但可实施性一般计(8-12]分；有方案框架，但可实施性较差计(4-8]分；方案简单，内容空泛，不利于项目实施的计[0-4]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应急管理措施</w:t>
            </w:r>
          </w:p>
        </w:tc>
        <w:tc>
          <w:tcPr>
            <w:tcW w:type="dxa" w:w="2492"/>
          </w:tcPr>
          <w:p>
            <w:pPr>
              <w:pStyle w:val="null3"/>
            </w:pPr>
            <w:r>
              <w:rPr>
                <w:rFonts w:ascii="仿宋_GB2312" w:hAnsi="仿宋_GB2312" w:cs="仿宋_GB2312" w:eastAsia="仿宋_GB2312"/>
              </w:rPr>
              <w:t>在策划和实施本项目中能够灵活应对各种突发情况，并且具备完善的应急措施，能够提供具有创新性和可行性的应急措施和预案计(8-10]分；具备一定的应对突发情况能力，但应急措施尚不够完善或缺乏创新性计(6-8]分；对应急措施简单或准备不足，难以应对突发情况计(4-6]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了详细的工作人员配备情况说明及经验能力证明材料，并且根据项目需求建立了专门的执行团队，其中人员结构与专业配置合理，职责明确，表现出高度的专业性和针对性计(12-15]分；提供了较为详细的工作人员配备情况说明及经验能力证明材料，并且根据项目需求建立了专门的执行团队，但人员结构与专业配置或职责的设定还存在一定的不足之处计(9-12]分；提供了一定的工作人员配备情况说明及经验能力证明材料，但缺乏针对本项目需求的专门执行团队或人员结构与专业配置架构合理性不足，职责设定不明确计(6-9]分；提供的人员配备不足，无法满足本项目的需求计(3-6]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有利于本项目工作进行的合理化建议详细合理，根据响应程度计(8-10]分；提出有一定针对性，但表述尚不够清晰或具体计(6-8]分；提出一些笼统或无关的建议计(4-6]分；提出的建议存在明显错误或与本项目无关计(2-4]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现场工作管理制度</w:t>
            </w:r>
          </w:p>
        </w:tc>
        <w:tc>
          <w:tcPr>
            <w:tcW w:type="dxa" w:w="2492"/>
          </w:tcPr>
          <w:p>
            <w:pPr>
              <w:pStyle w:val="null3"/>
            </w:pPr>
            <w:r>
              <w:rPr>
                <w:rFonts w:ascii="仿宋_GB2312" w:hAnsi="仿宋_GB2312" w:cs="仿宋_GB2312" w:eastAsia="仿宋_GB2312"/>
              </w:rPr>
              <w:t>提供健全的、完善的工作管理制度，完全满足采购人需求计(7-10]分；有工作规章制度，基本满足采购人需求计(4-7]分；规章制度不完善、简单，不利于项目顺利实施的计(1-3]分；未提供不计分。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供应商提供近三年（2023年1月1日至今）类似业绩，以合同扫描件为准，每提供1份计2.5分。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满足磋商文件要求且最终磋商报价最低的报价为评标基准价，其价格分为满分。其他供应商的价格分统一按照下列公式计算：报价得分=(评标基准价/最终磋商报价)×价格分值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