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版本号：【KRDL】K5-251014020260408001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水处理高压超快脉冲产生及测试设备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【KRDL】K5-2510140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水处理高压超快脉冲产生及测试设备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【KRDL】K5-2510140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水处理高压超快脉冲产生及测试设备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本项目拟采购水处理高压超快脉冲产生及测试系统1套，以满足采购人利用水处理高压超快脉冲产生及测试系统对工业废水、地下水修复等场景中宽浓度污染物的高效降解与机理研究需求。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采购包1（水处理高压超快脉冲产生及测试设备）：属于专门面向中小企业采购。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代理服务费收费标准：本项目招标代理服务费6000.00元，确定中标人后3日内，由中标人在领取中标（成交）通知书时向采购代理机构一次付清。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本项目拟采购水处理高压超快脉冲产生及测试系统1套，以满足采购人利用水处理高压超快脉冲产生及测试系统对工业废水、地下水修复等场景中宽浓度污染物的高效降解与机理研究需求。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水处理高压超快脉冲产生及测试设备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标的名称：水处理高压超快脉冲产生及测试设备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421"/>
              <w:gridCol w:w="1281"/>
              <w:gridCol w:w="851"/>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示波器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激光器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高压电源</w:t>
                  </w:r>
                </w:p>
                <w:p>
                  <w:pPr>
                    <w:pStyle w:val="null3"/>
                    <w:jc w:val="center"/>
                  </w:pPr>
                  <w:r>
                    <w:rPr>
                      <w:rFonts w:ascii="仿宋_GB2312" w:hAnsi="仿宋_GB2312" w:cs="仿宋_GB2312" w:eastAsia="仿宋_GB2312"/>
                      <w:sz w:val="20"/>
                    </w:rPr>
                    <w:t>【核心产品】</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bl>
          <w:p>
            <w:pPr>
              <w:pStyle w:val="null3"/>
            </w:pPr>
            <w:r>
              <w:rPr>
                <w:rFonts w:ascii="仿宋_GB2312" w:hAnsi="仿宋_GB2312" w:cs="仿宋_GB2312" w:eastAsia="仿宋_GB2312"/>
              </w:rPr>
              <w:t>二、</w:t>
            </w:r>
            <w:r>
              <w:rPr>
                <w:rFonts w:ascii="仿宋_GB2312" w:hAnsi="仿宋_GB2312" w:cs="仿宋_GB2312" w:eastAsia="仿宋_GB2312"/>
              </w:rPr>
              <w:t>技术参数</w:t>
            </w:r>
          </w:p>
          <w:p>
            <w:pPr>
              <w:pStyle w:val="null3"/>
            </w:pPr>
            <w:r>
              <w:rPr>
                <w:rFonts w:ascii="仿宋_GB2312" w:hAnsi="仿宋_GB2312" w:cs="仿宋_GB2312" w:eastAsia="仿宋_GB2312"/>
              </w:rPr>
              <w:t>（一）示波器技术参数：</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配套示波器采样率不小于</w:t>
            </w:r>
            <w:r>
              <w:rPr>
                <w:rFonts w:ascii="仿宋_GB2312" w:hAnsi="仿宋_GB2312" w:cs="仿宋_GB2312" w:eastAsia="仿宋_GB2312"/>
              </w:rPr>
              <w:t>10G</w:t>
            </w:r>
            <w:r>
              <w:rPr>
                <w:rFonts w:ascii="仿宋_GB2312" w:hAnsi="仿宋_GB2312" w:cs="仿宋_GB2312" w:eastAsia="仿宋_GB2312"/>
              </w:rPr>
              <w:t>Sa</w:t>
            </w:r>
            <w:r>
              <w:rPr>
                <w:rFonts w:ascii="仿宋_GB2312" w:hAnsi="仿宋_GB2312" w:cs="仿宋_GB2312" w:eastAsia="仿宋_GB2312"/>
              </w:rPr>
              <w:t>/</w:t>
            </w:r>
            <w:r>
              <w:rPr>
                <w:rFonts w:ascii="仿宋_GB2312" w:hAnsi="仿宋_GB2312" w:cs="仿宋_GB2312" w:eastAsia="仿宋_GB2312"/>
              </w:rPr>
              <w:t>s</w:t>
            </w:r>
            <w:r>
              <w:rPr>
                <w:rFonts w:ascii="仿宋_GB2312" w:hAnsi="仿宋_GB2312" w:cs="仿宋_GB2312" w:eastAsia="仿宋_GB2312"/>
              </w:rPr>
              <w:t>，模拟带宽不小于</w:t>
            </w:r>
            <w:r>
              <w:rPr>
                <w:rFonts w:ascii="仿宋_GB2312" w:hAnsi="仿宋_GB2312" w:cs="仿宋_GB2312" w:eastAsia="仿宋_GB2312"/>
              </w:rPr>
              <w:t>2GHz。</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采样率不小于</w:t>
            </w:r>
            <w:r>
              <w:rPr>
                <w:rFonts w:ascii="仿宋_GB2312" w:hAnsi="仿宋_GB2312" w:cs="仿宋_GB2312" w:eastAsia="仿宋_GB2312"/>
              </w:rPr>
              <w:t>10G</w:t>
            </w:r>
            <w:r>
              <w:rPr>
                <w:rFonts w:ascii="仿宋_GB2312" w:hAnsi="仿宋_GB2312" w:cs="仿宋_GB2312" w:eastAsia="仿宋_GB2312"/>
              </w:rPr>
              <w:t>Sa</w:t>
            </w:r>
            <w:r>
              <w:rPr>
                <w:rFonts w:ascii="仿宋_GB2312" w:hAnsi="仿宋_GB2312" w:cs="仿宋_GB2312" w:eastAsia="仿宋_GB2312"/>
              </w:rPr>
              <w:t>/</w:t>
            </w:r>
            <w:r>
              <w:rPr>
                <w:rFonts w:ascii="仿宋_GB2312" w:hAnsi="仿宋_GB2312" w:cs="仿宋_GB2312" w:eastAsia="仿宋_GB2312"/>
              </w:rPr>
              <w:t>s</w:t>
            </w:r>
            <w:r>
              <w:rPr>
                <w:rFonts w:ascii="仿宋_GB2312" w:hAnsi="仿宋_GB2312" w:cs="仿宋_GB2312" w:eastAsia="仿宋_GB2312"/>
              </w:rPr>
              <w:t xml:space="preserve"> @每通道</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垂直分辨率不小于</w:t>
            </w:r>
            <w:r>
              <w:rPr>
                <w:rFonts w:ascii="仿宋_GB2312" w:hAnsi="仿宋_GB2312" w:cs="仿宋_GB2312" w:eastAsia="仿宋_GB2312"/>
              </w:rPr>
              <w:t>10bit</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激光器技术参数：</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.光波长1064nm</w:t>
            </w:r>
            <w:r>
              <w:rPr>
                <w:rFonts w:ascii="仿宋_GB2312" w:hAnsi="仿宋_GB2312" w:cs="仿宋_GB2312" w:eastAsia="仿宋_GB2312"/>
              </w:rPr>
              <w:t>±2nm</w:t>
            </w:r>
            <w:r>
              <w:rPr>
                <w:rFonts w:ascii="仿宋_GB2312" w:hAnsi="仿宋_GB2312" w:cs="仿宋_GB2312" w:eastAsia="仿宋_GB2312"/>
              </w:rPr>
              <w:t>、</w:t>
            </w:r>
            <w:r>
              <w:rPr>
                <w:rFonts w:ascii="仿宋_GB2312" w:hAnsi="仿宋_GB2312" w:cs="仿宋_GB2312" w:eastAsia="仿宋_GB2312"/>
              </w:rPr>
              <w:t>532nm</w:t>
            </w:r>
            <w:r>
              <w:rPr>
                <w:rFonts w:ascii="仿宋_GB2312" w:hAnsi="仿宋_GB2312" w:cs="仿宋_GB2312" w:eastAsia="仿宋_GB2312"/>
              </w:rPr>
              <w:t>±2nm</w:t>
            </w:r>
            <w:r>
              <w:rPr>
                <w:rFonts w:ascii="仿宋_GB2312" w:hAnsi="仿宋_GB2312" w:cs="仿宋_GB2312" w:eastAsia="仿宋_GB2312"/>
              </w:rPr>
              <w:t>，支持双波长切换。</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.重复频率调节范围1</w:t>
            </w:r>
            <w:r>
              <w:rPr>
                <w:rFonts w:ascii="仿宋_GB2312" w:hAnsi="仿宋_GB2312" w:cs="仿宋_GB2312" w:eastAsia="仿宋_GB2312"/>
              </w:rPr>
              <w:t>~</w:t>
            </w:r>
            <w:r>
              <w:rPr>
                <w:rFonts w:ascii="仿宋_GB2312" w:hAnsi="仿宋_GB2312" w:cs="仿宋_GB2312" w:eastAsia="仿宋_GB2312"/>
              </w:rPr>
              <w:t>20Hz，支持可调。</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激光脉宽</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ns</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1064nm波长下单脉冲能量≥50mJ，532nm波长下能量≥25mJ。</w:t>
            </w:r>
          </w:p>
          <w:p>
            <w:pPr>
              <w:pStyle w:val="null3"/>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激光头具备</w:t>
            </w:r>
            <w:r>
              <w:rPr>
                <w:rFonts w:ascii="仿宋_GB2312" w:hAnsi="仿宋_GB2312" w:cs="仿宋_GB2312" w:eastAsia="仿宋_GB2312"/>
              </w:rPr>
              <w:t>IP67防水能力</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激光头腔体完全气密，灯腔分离设计</w:t>
            </w:r>
            <w:r>
              <w:rPr>
                <w:rFonts w:ascii="仿宋_GB2312" w:hAnsi="仿宋_GB2312" w:cs="仿宋_GB2312" w:eastAsia="仿宋_GB2312"/>
              </w:rPr>
              <w:t>。</w:t>
            </w:r>
          </w:p>
          <w:p>
            <w:pPr>
              <w:pStyle w:val="null3"/>
            </w:pP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制冷机</w:t>
            </w:r>
            <w:r>
              <w:rPr>
                <w:rFonts w:ascii="仿宋_GB2312" w:hAnsi="仿宋_GB2312" w:cs="仿宋_GB2312" w:eastAsia="仿宋_GB2312"/>
              </w:rPr>
              <w:t>及控制电源为一体集成式设计（激光器配套的制冷机和控制电源需采用集成化设计，只提供一个机柜式配套设备，水机制冷功率：不大于</w:t>
            </w:r>
            <w:r>
              <w:rPr>
                <w:rFonts w:ascii="仿宋_GB2312" w:hAnsi="仿宋_GB2312" w:cs="仿宋_GB2312" w:eastAsia="仿宋_GB2312"/>
              </w:rPr>
              <w:t>370W，一体机尺寸不大于（长*宽*高）：540×190×440mm  供电要求：220V 50Hz）。</w:t>
            </w:r>
          </w:p>
          <w:p>
            <w:pPr>
              <w:pStyle w:val="null3"/>
            </w:pP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激光头</w:t>
            </w:r>
            <w:r>
              <w:rPr>
                <w:rFonts w:ascii="仿宋_GB2312" w:hAnsi="仿宋_GB2312" w:cs="仿宋_GB2312" w:eastAsia="仿宋_GB2312"/>
              </w:rPr>
              <w:t>参考</w:t>
            </w:r>
            <w:r>
              <w:rPr>
                <w:rFonts w:ascii="仿宋_GB2312" w:hAnsi="仿宋_GB2312" w:cs="仿宋_GB2312" w:eastAsia="仿宋_GB2312"/>
              </w:rPr>
              <w:t>尺寸</w:t>
            </w:r>
            <w:r>
              <w:rPr>
                <w:rFonts w:ascii="仿宋_GB2312" w:hAnsi="仿宋_GB2312" w:cs="仿宋_GB2312" w:eastAsia="仿宋_GB2312"/>
              </w:rPr>
              <w:t>230mm 长</w:t>
            </w:r>
            <w:r>
              <w:rPr>
                <w:rFonts w:ascii="仿宋_GB2312" w:hAnsi="仿宋_GB2312" w:cs="仿宋_GB2312" w:eastAsia="仿宋_GB2312"/>
              </w:rPr>
              <w:t>×</w:t>
            </w:r>
            <w:r>
              <w:rPr>
                <w:rFonts w:ascii="仿宋_GB2312" w:hAnsi="仿宋_GB2312" w:cs="仿宋_GB2312" w:eastAsia="仿宋_GB2312"/>
              </w:rPr>
              <w:t xml:space="preserve"> 110mm宽 </w:t>
            </w:r>
            <w:r>
              <w:rPr>
                <w:rFonts w:ascii="仿宋_GB2312" w:hAnsi="仿宋_GB2312" w:cs="仿宋_GB2312" w:eastAsia="仿宋_GB2312"/>
              </w:rPr>
              <w:t>×</w:t>
            </w:r>
            <w:r>
              <w:rPr>
                <w:rFonts w:ascii="仿宋_GB2312" w:hAnsi="仿宋_GB2312" w:cs="仿宋_GB2312" w:eastAsia="仿宋_GB2312"/>
              </w:rPr>
              <w:t xml:space="preserve"> 90mm高</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）高压电源技术参数：</w:t>
            </w:r>
          </w:p>
          <w:p>
            <w:pPr>
              <w:pStyle w:val="null3"/>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电源电压调节范围</w:t>
            </w:r>
            <w:r>
              <w:rPr>
                <w:rFonts w:ascii="仿宋_GB2312" w:hAnsi="仿宋_GB2312" w:cs="仿宋_GB2312" w:eastAsia="仿宋_GB2312"/>
              </w:rPr>
              <w:t>（</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20</w:t>
            </w:r>
            <w:r>
              <w:rPr>
                <w:rFonts w:ascii="仿宋_GB2312" w:hAnsi="仿宋_GB2312" w:cs="仿宋_GB2312" w:eastAsia="仿宋_GB2312"/>
              </w:rPr>
              <w:t>）</w:t>
            </w:r>
            <w:r>
              <w:rPr>
                <w:rFonts w:ascii="仿宋_GB2312" w:hAnsi="仿宋_GB2312" w:cs="仿宋_GB2312" w:eastAsia="仿宋_GB2312"/>
              </w:rPr>
              <w:t>kV，系统额定功率</w:t>
            </w:r>
            <w:r>
              <w:rPr>
                <w:rFonts w:ascii="仿宋_GB2312" w:hAnsi="仿宋_GB2312" w:cs="仿宋_GB2312" w:eastAsia="仿宋_GB2312"/>
              </w:rPr>
              <w:t>≥</w:t>
            </w:r>
            <w:r>
              <w:rPr>
                <w:rFonts w:ascii="仿宋_GB2312" w:hAnsi="仿宋_GB2312" w:cs="仿宋_GB2312" w:eastAsia="仿宋_GB2312"/>
              </w:rPr>
              <w:t>1200W。</w:t>
            </w:r>
          </w:p>
          <w:p>
            <w:pPr>
              <w:pStyle w:val="null3"/>
            </w:pPr>
            <w:r>
              <w:rPr>
                <w:rFonts w:ascii="仿宋_GB2312" w:hAnsi="仿宋_GB2312" w:cs="仿宋_GB2312" w:eastAsia="仿宋_GB2312"/>
              </w:rPr>
              <w:t>13</w:t>
            </w:r>
            <w:r>
              <w:rPr>
                <w:rFonts w:ascii="仿宋_GB2312" w:hAnsi="仿宋_GB2312" w:cs="仿宋_GB2312" w:eastAsia="仿宋_GB2312"/>
              </w:rPr>
              <w:t>.</w:t>
            </w:r>
            <w:r>
              <w:rPr>
                <w:rFonts w:ascii="仿宋_GB2312" w:hAnsi="仿宋_GB2312" w:cs="仿宋_GB2312" w:eastAsia="仿宋_GB2312"/>
              </w:rPr>
              <w:t>稳定度：</w:t>
            </w:r>
            <w:r>
              <w:rPr>
                <w:rFonts w:ascii="仿宋_GB2312" w:hAnsi="仿宋_GB2312" w:cs="仿宋_GB2312" w:eastAsia="仿宋_GB2312"/>
              </w:rPr>
              <w:t>≤</w:t>
            </w:r>
            <w:r>
              <w:rPr>
                <w:rFonts w:ascii="仿宋_GB2312" w:hAnsi="仿宋_GB2312" w:cs="仿宋_GB2312" w:eastAsia="仿宋_GB2312"/>
              </w:rPr>
              <w:t>100ppm</w:t>
            </w:r>
            <w:r>
              <w:rPr>
                <w:rFonts w:ascii="仿宋_GB2312" w:hAnsi="仿宋_GB2312" w:cs="仿宋_GB2312" w:eastAsia="仿宋_GB2312"/>
              </w:rPr>
              <w:t>/h</w:t>
            </w:r>
            <w:r>
              <w:rPr>
                <w:rFonts w:ascii="仿宋_GB2312" w:hAnsi="仿宋_GB2312" w:cs="仿宋_GB2312" w:eastAsia="仿宋_GB2312"/>
              </w:rPr>
              <w:t>。</w:t>
            </w:r>
          </w:p>
          <w:p>
            <w:pPr>
              <w:pStyle w:val="null3"/>
            </w:pPr>
            <w:r>
              <w:rPr>
                <w:rFonts w:ascii="仿宋_GB2312" w:hAnsi="仿宋_GB2312" w:cs="仿宋_GB2312" w:eastAsia="仿宋_GB2312"/>
              </w:rPr>
              <w:t>14</w:t>
            </w:r>
            <w:r>
              <w:rPr>
                <w:rFonts w:ascii="仿宋_GB2312" w:hAnsi="仿宋_GB2312" w:cs="仿宋_GB2312" w:eastAsia="仿宋_GB2312"/>
              </w:rPr>
              <w:t>.纹波电压不大于0.1%</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系统传输带宽覆盖</w:t>
            </w:r>
            <w:r>
              <w:rPr>
                <w:rFonts w:ascii="仿宋_GB2312" w:hAnsi="仿宋_GB2312" w:cs="仿宋_GB2312" w:eastAsia="仿宋_GB2312"/>
              </w:rPr>
              <w:t>0~</w:t>
            </w:r>
            <w:r>
              <w:rPr>
                <w:rFonts w:ascii="仿宋_GB2312" w:hAnsi="仿宋_GB2312" w:cs="仿宋_GB2312" w:eastAsia="仿宋_GB2312"/>
              </w:rPr>
              <w:t>110GHz，阻抗匹配误差</w:t>
            </w:r>
            <w:r>
              <w:rPr>
                <w:rFonts w:ascii="仿宋_GB2312" w:hAnsi="仿宋_GB2312" w:cs="仿宋_GB2312" w:eastAsia="仿宋_GB2312"/>
              </w:rPr>
              <w:t>≤</w:t>
            </w:r>
            <w:r>
              <w:rPr>
                <w:rFonts w:ascii="仿宋_GB2312" w:hAnsi="仿宋_GB2312" w:cs="仿宋_GB2312" w:eastAsia="仿宋_GB2312"/>
              </w:rPr>
              <w:t>5%。</w:t>
            </w:r>
          </w:p>
          <w:p>
            <w:pPr>
              <w:pStyle w:val="null3"/>
            </w:pPr>
            <w:r>
              <w:rPr>
                <w:rFonts w:ascii="仿宋_GB2312" w:hAnsi="仿宋_GB2312" w:cs="仿宋_GB2312" w:eastAsia="仿宋_GB2312"/>
              </w:rPr>
              <w:t>▲</w:t>
            </w:r>
            <w:r>
              <w:rPr>
                <w:rFonts w:ascii="仿宋_GB2312" w:hAnsi="仿宋_GB2312" w:cs="仿宋_GB2312" w:eastAsia="仿宋_GB2312"/>
              </w:rPr>
              <w:t>16</w:t>
            </w:r>
            <w:r>
              <w:rPr>
                <w:rFonts w:ascii="仿宋_GB2312" w:hAnsi="仿宋_GB2312" w:cs="仿宋_GB2312" w:eastAsia="仿宋_GB2312"/>
              </w:rPr>
              <w:t>.</w:t>
            </w:r>
            <w:r>
              <w:rPr>
                <w:rFonts w:ascii="仿宋_GB2312" w:hAnsi="仿宋_GB2312" w:cs="仿宋_GB2312" w:eastAsia="仿宋_GB2312"/>
              </w:rPr>
              <w:t>输出电脉冲宽度</w:t>
            </w:r>
            <w:r>
              <w:rPr>
                <w:rFonts w:ascii="仿宋_GB2312" w:hAnsi="仿宋_GB2312" w:cs="仿宋_GB2312" w:eastAsia="仿宋_GB2312"/>
              </w:rPr>
              <w:t>&lt;</w:t>
            </w:r>
            <w:r>
              <w:rPr>
                <w:rFonts w:ascii="仿宋_GB2312" w:hAnsi="仿宋_GB2312" w:cs="仿宋_GB2312" w:eastAsia="仿宋_GB2312"/>
              </w:rPr>
              <w:t>10ns，上升沿时间</w:t>
            </w:r>
            <w:r>
              <w:rPr>
                <w:rFonts w:ascii="仿宋_GB2312" w:hAnsi="仿宋_GB2312" w:cs="仿宋_GB2312" w:eastAsia="仿宋_GB2312"/>
              </w:rPr>
              <w:t>&lt;</w:t>
            </w:r>
            <w:r>
              <w:rPr>
                <w:rFonts w:ascii="仿宋_GB2312" w:hAnsi="仿宋_GB2312" w:cs="仿宋_GB2312" w:eastAsia="仿宋_GB2312"/>
              </w:rPr>
              <w:t>1ns，时间抖动</w:t>
            </w:r>
            <w:r>
              <w:rPr>
                <w:rFonts w:ascii="仿宋_GB2312" w:hAnsi="仿宋_GB2312" w:cs="仿宋_GB2312" w:eastAsia="仿宋_GB2312"/>
              </w:rPr>
              <w:t>&lt;</w:t>
            </w:r>
            <w:r>
              <w:rPr>
                <w:rFonts w:ascii="仿宋_GB2312" w:hAnsi="仿宋_GB2312" w:cs="仿宋_GB2312" w:eastAsia="仿宋_GB2312"/>
              </w:rPr>
              <w:t>100ps</w:t>
            </w:r>
            <w:r>
              <w:rPr>
                <w:rFonts w:ascii="仿宋_GB2312" w:hAnsi="仿宋_GB2312" w:cs="仿宋_GB2312" w:eastAsia="仿宋_GB2312"/>
              </w:rPr>
              <w:t>。</w:t>
            </w:r>
          </w:p>
          <w:p>
            <w:pPr>
              <w:pStyle w:val="null3"/>
            </w:pPr>
            <w:r>
              <w:rPr>
                <w:rFonts w:ascii="仿宋_GB2312" w:hAnsi="仿宋_GB2312" w:cs="仿宋_GB2312" w:eastAsia="仿宋_GB2312"/>
              </w:rPr>
              <w:t>17.匹配0~110GHz5条宽带同轴传输线和宽带同轴转接头5个（提供原厂备0~110GHz10条宽带同轴传输线和宽带同轴转接头10个）。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合同签订后30个日历日内完成安装并交付采购人使用。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标的物必须为全新的、来源合法，符合国家或有关行业质量标准。合同标的物自项目验收合格之日起质保期3年，质保期自甲方在货物质量验收合格之日起计算。本项目质保期内所产生的全部费用（含但不限于设备维修、零部件更换、人工服务、技术支持等与产品质量保障相关的费用），均已包含在本次投标报价中，采购人在质保期内不再向中标人支付任何额外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3.4商务要求3.4.4支付约定为系统固定推述内容，具体付款方式以下列内容为准：中标人按照合同规定期限内供货、调试完成，经招标人最终验收合格并签署《验收合格报告》后7个工作日内，向中标人支付全部合同款项。中标人应在招标人付款前，向招标人开具全额合法有效的增值税专用发票。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1.完全满足采购技术要求的，得33分； 2.“▲”项技术参数为重要参数，每负偏离一项扣3分，扣完为止； 3.无标识参数为一般参数，每负偏离一项扣1分，扣完为止； 注：投标人对所投产品“▲”项参数须提供相应的佐证材料（包括但不限于产品彩页或官网截图或产品白皮书或技术规格表或国家认可的第三方检测报告等）并加盖投标人公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投标人针对本项目提供有利于本项目开展的其他承诺（例如：增值服务、优惠条件、人性化设计等），每提供一项承诺得2分，最多得4分；（承诺书格式自拟）未提供不得分。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投标人提供自2023年4月1日至投标文件递交截止时间前的类似项目业绩证明材料。每提供1个完整合同复印件的得1分，满分3分。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